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C69" w:rsidRPr="00BF2F77" w:rsidRDefault="009E7C69" w:rsidP="00925154">
      <w:pPr>
        <w:spacing w:line="276" w:lineRule="auto"/>
        <w:ind w:left="0" w:right="0"/>
        <w:jc w:val="center"/>
        <w:rPr>
          <w:b/>
          <w:color w:val="000000" w:themeColor="text1"/>
          <w:sz w:val="24"/>
          <w:szCs w:val="24"/>
        </w:rPr>
      </w:pPr>
    </w:p>
    <w:p w:rsidR="003F1E6C" w:rsidRPr="00BF2F77" w:rsidRDefault="003A0413" w:rsidP="00925154">
      <w:pPr>
        <w:spacing w:line="276" w:lineRule="auto"/>
        <w:ind w:left="0" w:right="0"/>
        <w:jc w:val="center"/>
        <w:rPr>
          <w:b/>
          <w:color w:val="000000" w:themeColor="text1"/>
          <w:sz w:val="24"/>
          <w:szCs w:val="24"/>
        </w:rPr>
      </w:pPr>
      <w:proofErr w:type="gramStart"/>
      <w:r w:rsidRPr="00BF2F77">
        <w:rPr>
          <w:b/>
          <w:color w:val="000000" w:themeColor="text1"/>
          <w:sz w:val="24"/>
          <w:szCs w:val="24"/>
        </w:rPr>
        <w:t>RESOLUCIÓN</w:t>
      </w:r>
      <w:r w:rsidR="00A647D3" w:rsidRPr="00BF2F77">
        <w:rPr>
          <w:b/>
          <w:color w:val="000000" w:themeColor="text1"/>
          <w:sz w:val="24"/>
          <w:szCs w:val="24"/>
        </w:rPr>
        <w:t xml:space="preserve"> </w:t>
      </w:r>
      <w:r w:rsidR="00A97E85" w:rsidRPr="00BF2F77">
        <w:rPr>
          <w:b/>
          <w:color w:val="000000" w:themeColor="text1"/>
          <w:sz w:val="24"/>
          <w:szCs w:val="24"/>
        </w:rPr>
        <w:t xml:space="preserve"> </w:t>
      </w:r>
      <w:r w:rsidR="00454A6C" w:rsidRPr="00BF2F77">
        <w:rPr>
          <w:b/>
          <w:color w:val="000000" w:themeColor="text1"/>
          <w:sz w:val="24"/>
          <w:szCs w:val="24"/>
        </w:rPr>
        <w:t>N</w:t>
      </w:r>
      <w:r w:rsidR="0085340E" w:rsidRPr="00BF2F77">
        <w:rPr>
          <w:b/>
          <w:color w:val="000000" w:themeColor="text1"/>
          <w:sz w:val="24"/>
          <w:szCs w:val="24"/>
        </w:rPr>
        <w:t>.</w:t>
      </w:r>
      <w:proofErr w:type="gramEnd"/>
      <w:r w:rsidR="00A90A0E" w:rsidRPr="00BF2F77">
        <w:rPr>
          <w:b/>
          <w:color w:val="000000" w:themeColor="text1"/>
          <w:sz w:val="24"/>
          <w:szCs w:val="24"/>
        </w:rPr>
        <w:t xml:space="preserve"> </w:t>
      </w:r>
      <w:proofErr w:type="spellStart"/>
      <w:r w:rsidRPr="00BF2F77">
        <w:rPr>
          <w:b/>
          <w:color w:val="000000" w:themeColor="text1"/>
          <w:sz w:val="24"/>
          <w:szCs w:val="24"/>
        </w:rPr>
        <w:t>TAT</w:t>
      </w:r>
      <w:proofErr w:type="spellEnd"/>
      <w:r w:rsidRPr="00BF2F77">
        <w:rPr>
          <w:b/>
          <w:color w:val="000000" w:themeColor="text1"/>
          <w:sz w:val="24"/>
          <w:szCs w:val="24"/>
        </w:rPr>
        <w:t>-</w:t>
      </w:r>
      <w:r w:rsidR="00A97E85" w:rsidRPr="00BF2F77">
        <w:rPr>
          <w:b/>
          <w:color w:val="000000" w:themeColor="text1"/>
          <w:sz w:val="24"/>
          <w:szCs w:val="24"/>
        </w:rPr>
        <w:t>3012</w:t>
      </w:r>
      <w:r w:rsidR="003F1E6C" w:rsidRPr="00BF2F77">
        <w:rPr>
          <w:b/>
          <w:color w:val="000000" w:themeColor="text1"/>
          <w:sz w:val="24"/>
          <w:szCs w:val="24"/>
        </w:rPr>
        <w:t>-</w:t>
      </w:r>
      <w:r w:rsidR="001F403B" w:rsidRPr="00BF2F77">
        <w:rPr>
          <w:b/>
          <w:color w:val="000000" w:themeColor="text1"/>
          <w:sz w:val="24"/>
          <w:szCs w:val="24"/>
        </w:rPr>
        <w:t>20</w:t>
      </w:r>
      <w:r w:rsidR="00CD7B02" w:rsidRPr="00BF2F77">
        <w:rPr>
          <w:b/>
          <w:color w:val="000000" w:themeColor="text1"/>
          <w:sz w:val="24"/>
          <w:szCs w:val="24"/>
        </w:rPr>
        <w:t>16</w:t>
      </w:r>
    </w:p>
    <w:p w:rsidR="003F1E6C" w:rsidRPr="00BF2F77" w:rsidRDefault="003F1E6C" w:rsidP="00925154">
      <w:pPr>
        <w:spacing w:line="276" w:lineRule="auto"/>
        <w:ind w:left="0" w:right="0"/>
        <w:jc w:val="center"/>
        <w:rPr>
          <w:b/>
          <w:color w:val="000000" w:themeColor="text1"/>
          <w:sz w:val="24"/>
          <w:szCs w:val="24"/>
        </w:rPr>
      </w:pPr>
    </w:p>
    <w:p w:rsidR="003F1E6C" w:rsidRPr="00BF2F77" w:rsidRDefault="003F1E6C" w:rsidP="00925154">
      <w:pPr>
        <w:spacing w:line="276" w:lineRule="auto"/>
        <w:ind w:left="0" w:right="0"/>
        <w:rPr>
          <w:color w:val="000000" w:themeColor="text1"/>
          <w:sz w:val="24"/>
          <w:szCs w:val="24"/>
        </w:rPr>
      </w:pPr>
      <w:r w:rsidRPr="00BF2F77">
        <w:rPr>
          <w:b/>
          <w:color w:val="000000" w:themeColor="text1"/>
          <w:sz w:val="24"/>
          <w:szCs w:val="24"/>
        </w:rPr>
        <w:t xml:space="preserve">TRIBUNAL ADMINISTRATIVO DE TRANSPORTE. </w:t>
      </w:r>
      <w:r w:rsidR="001A7028" w:rsidRPr="00BF2F77">
        <w:rPr>
          <w:color w:val="000000" w:themeColor="text1"/>
          <w:sz w:val="24"/>
          <w:szCs w:val="24"/>
        </w:rPr>
        <w:t>Curridabat</w:t>
      </w:r>
      <w:r w:rsidRPr="00BF2F77">
        <w:rPr>
          <w:color w:val="000000" w:themeColor="text1"/>
          <w:sz w:val="24"/>
          <w:szCs w:val="24"/>
        </w:rPr>
        <w:t>, a las</w:t>
      </w:r>
      <w:r w:rsidR="00AC5141" w:rsidRPr="00BF2F77">
        <w:rPr>
          <w:color w:val="000000" w:themeColor="text1"/>
          <w:sz w:val="24"/>
          <w:szCs w:val="24"/>
        </w:rPr>
        <w:t xml:space="preserve"> </w:t>
      </w:r>
      <w:r w:rsidR="00A97E85" w:rsidRPr="00BF2F77">
        <w:rPr>
          <w:color w:val="000000" w:themeColor="text1"/>
          <w:sz w:val="24"/>
          <w:szCs w:val="24"/>
        </w:rPr>
        <w:t>trece</w:t>
      </w:r>
      <w:r w:rsidR="002A440F" w:rsidRPr="00BF2F77">
        <w:rPr>
          <w:color w:val="000000" w:themeColor="text1"/>
          <w:sz w:val="24"/>
          <w:szCs w:val="24"/>
        </w:rPr>
        <w:t xml:space="preserve"> </w:t>
      </w:r>
      <w:r w:rsidR="006B4147" w:rsidRPr="00BF2F77">
        <w:rPr>
          <w:color w:val="000000" w:themeColor="text1"/>
          <w:sz w:val="24"/>
          <w:szCs w:val="24"/>
        </w:rPr>
        <w:t xml:space="preserve">horas con </w:t>
      </w:r>
      <w:r w:rsidR="00A97E85" w:rsidRPr="00BF2F77">
        <w:rPr>
          <w:color w:val="000000" w:themeColor="text1"/>
          <w:sz w:val="24"/>
          <w:szCs w:val="24"/>
        </w:rPr>
        <w:t>cuarenta</w:t>
      </w:r>
      <w:r w:rsidR="0072486C" w:rsidRPr="00BF2F77">
        <w:rPr>
          <w:color w:val="000000" w:themeColor="text1"/>
          <w:sz w:val="24"/>
          <w:szCs w:val="24"/>
        </w:rPr>
        <w:t xml:space="preserve"> </w:t>
      </w:r>
      <w:r w:rsidR="006B4147" w:rsidRPr="00BF2F77">
        <w:rPr>
          <w:color w:val="000000" w:themeColor="text1"/>
          <w:sz w:val="24"/>
          <w:szCs w:val="24"/>
        </w:rPr>
        <w:t>minutos del</w:t>
      </w:r>
      <w:r w:rsidR="00CD7B02" w:rsidRPr="00BF2F77">
        <w:rPr>
          <w:color w:val="000000" w:themeColor="text1"/>
          <w:sz w:val="24"/>
          <w:szCs w:val="24"/>
        </w:rPr>
        <w:t xml:space="preserve"> treinta y uno </w:t>
      </w:r>
      <w:r w:rsidR="00197143" w:rsidRPr="00BF2F77">
        <w:rPr>
          <w:color w:val="000000" w:themeColor="text1"/>
          <w:sz w:val="24"/>
          <w:szCs w:val="24"/>
        </w:rPr>
        <w:t xml:space="preserve">de </w:t>
      </w:r>
      <w:r w:rsidR="00F83EF0" w:rsidRPr="00BF2F77">
        <w:rPr>
          <w:color w:val="000000" w:themeColor="text1"/>
          <w:sz w:val="24"/>
          <w:szCs w:val="24"/>
        </w:rPr>
        <w:t xml:space="preserve">mayo </w:t>
      </w:r>
      <w:r w:rsidR="006B4147" w:rsidRPr="00BF2F77">
        <w:rPr>
          <w:color w:val="000000" w:themeColor="text1"/>
          <w:sz w:val="24"/>
          <w:szCs w:val="24"/>
        </w:rPr>
        <w:t xml:space="preserve">del dos mil </w:t>
      </w:r>
      <w:r w:rsidR="003A0413" w:rsidRPr="00BF2F77">
        <w:rPr>
          <w:color w:val="000000" w:themeColor="text1"/>
          <w:sz w:val="24"/>
          <w:szCs w:val="24"/>
        </w:rPr>
        <w:t>dieciséis</w:t>
      </w:r>
      <w:r w:rsidR="00B3457E" w:rsidRPr="00BF2F77">
        <w:rPr>
          <w:color w:val="000000" w:themeColor="text1"/>
          <w:sz w:val="24"/>
          <w:szCs w:val="24"/>
        </w:rPr>
        <w:t>.</w:t>
      </w:r>
    </w:p>
    <w:p w:rsidR="003F1E6C" w:rsidRPr="00BF2F77" w:rsidRDefault="003F1E6C" w:rsidP="00925154">
      <w:pPr>
        <w:spacing w:line="276" w:lineRule="auto"/>
        <w:ind w:left="0" w:right="0"/>
        <w:rPr>
          <w:color w:val="000000" w:themeColor="text1"/>
          <w:sz w:val="24"/>
          <w:szCs w:val="24"/>
        </w:rPr>
      </w:pPr>
    </w:p>
    <w:p w:rsidR="003F1E6C" w:rsidRPr="00BF2F77" w:rsidRDefault="0052263B" w:rsidP="00925154">
      <w:pPr>
        <w:spacing w:line="276" w:lineRule="auto"/>
        <w:ind w:left="0" w:right="0"/>
        <w:rPr>
          <w:b/>
          <w:color w:val="000000" w:themeColor="text1"/>
          <w:sz w:val="24"/>
          <w:szCs w:val="24"/>
        </w:rPr>
      </w:pPr>
      <w:r w:rsidRPr="00BF2F77">
        <w:rPr>
          <w:rStyle w:val="CharacterStyle1"/>
          <w:bCs/>
          <w:color w:val="000000" w:themeColor="text1"/>
          <w:spacing w:val="3"/>
          <w:szCs w:val="24"/>
        </w:rPr>
        <w:t>S</w:t>
      </w:r>
      <w:r w:rsidR="004C7AFD" w:rsidRPr="00BF2F77">
        <w:rPr>
          <w:rStyle w:val="CharacterStyle1"/>
          <w:bCs/>
          <w:color w:val="000000" w:themeColor="text1"/>
          <w:spacing w:val="3"/>
          <w:szCs w:val="24"/>
        </w:rPr>
        <w:t>e conoc</w:t>
      </w:r>
      <w:r w:rsidRPr="00BF2F77">
        <w:rPr>
          <w:rStyle w:val="CharacterStyle1"/>
          <w:bCs/>
          <w:color w:val="000000" w:themeColor="text1"/>
          <w:spacing w:val="3"/>
          <w:szCs w:val="24"/>
        </w:rPr>
        <w:t xml:space="preserve">e </w:t>
      </w:r>
      <w:r w:rsidR="00645B0B" w:rsidRPr="00BF2F77">
        <w:rPr>
          <w:b/>
          <w:smallCaps/>
          <w:color w:val="000000" w:themeColor="text1"/>
          <w:sz w:val="24"/>
          <w:szCs w:val="24"/>
        </w:rPr>
        <w:t xml:space="preserve">Recurso de </w:t>
      </w:r>
      <w:r w:rsidR="00155CC9" w:rsidRPr="00BF2F77">
        <w:rPr>
          <w:b/>
          <w:smallCaps/>
          <w:color w:val="000000" w:themeColor="text1"/>
          <w:sz w:val="24"/>
          <w:szCs w:val="24"/>
        </w:rPr>
        <w:t xml:space="preserve">Revocatoria con </w:t>
      </w:r>
      <w:r w:rsidR="00645B0B" w:rsidRPr="00BF2F77">
        <w:rPr>
          <w:b/>
          <w:smallCaps/>
          <w:color w:val="000000" w:themeColor="text1"/>
          <w:sz w:val="24"/>
          <w:szCs w:val="24"/>
        </w:rPr>
        <w:t xml:space="preserve">Apelación en Subsidio y Nulidad </w:t>
      </w:r>
      <w:r w:rsidR="005D00D6" w:rsidRPr="00BF2F77">
        <w:rPr>
          <w:b/>
          <w:smallCaps/>
          <w:color w:val="000000" w:themeColor="text1"/>
          <w:sz w:val="24"/>
          <w:szCs w:val="24"/>
        </w:rPr>
        <w:t>absoluta</w:t>
      </w:r>
      <w:r w:rsidR="00645B0B" w:rsidRPr="00BF2F77">
        <w:rPr>
          <w:smallCaps/>
          <w:color w:val="000000" w:themeColor="text1"/>
          <w:sz w:val="24"/>
          <w:szCs w:val="24"/>
        </w:rPr>
        <w:t>,</w:t>
      </w:r>
      <w:r w:rsidR="00645B0B" w:rsidRPr="00BF2F77">
        <w:rPr>
          <w:b/>
          <w:smallCaps/>
          <w:color w:val="000000" w:themeColor="text1"/>
          <w:sz w:val="24"/>
          <w:szCs w:val="24"/>
        </w:rPr>
        <w:t xml:space="preserve"> </w:t>
      </w:r>
      <w:r w:rsidR="00645B0B" w:rsidRPr="00BF2F77">
        <w:rPr>
          <w:color w:val="000000" w:themeColor="text1"/>
          <w:sz w:val="24"/>
          <w:szCs w:val="24"/>
        </w:rPr>
        <w:t xml:space="preserve">interpuesto por </w:t>
      </w:r>
      <w:proofErr w:type="spellStart"/>
      <w:r w:rsidR="004A4753" w:rsidRPr="00BF2F77">
        <w:rPr>
          <w:b/>
          <w:smallCaps/>
          <w:color w:val="000000" w:themeColor="text1"/>
          <w:sz w:val="24"/>
          <w:szCs w:val="24"/>
        </w:rPr>
        <w:t>S</w:t>
      </w:r>
      <w:r w:rsidR="004A4753">
        <w:rPr>
          <w:b/>
          <w:smallCaps/>
          <w:color w:val="000000" w:themeColor="text1"/>
          <w:sz w:val="24"/>
          <w:szCs w:val="24"/>
        </w:rPr>
        <w:t>LLC</w:t>
      </w:r>
      <w:proofErr w:type="spellEnd"/>
      <w:r w:rsidR="00645B0B" w:rsidRPr="00BF2F77">
        <w:rPr>
          <w:smallCaps/>
          <w:color w:val="000000" w:themeColor="text1"/>
          <w:sz w:val="24"/>
          <w:szCs w:val="24"/>
        </w:rPr>
        <w:t>,</w:t>
      </w:r>
      <w:r w:rsidR="00645B0B" w:rsidRPr="00BF2F77">
        <w:rPr>
          <w:color w:val="000000" w:themeColor="text1"/>
          <w:sz w:val="24"/>
          <w:szCs w:val="24"/>
        </w:rPr>
        <w:t xml:space="preserve"> cédula de identidad </w:t>
      </w:r>
      <w:r w:rsidR="004A4753">
        <w:rPr>
          <w:color w:val="000000" w:themeColor="text1"/>
          <w:sz w:val="24"/>
          <w:szCs w:val="24"/>
        </w:rPr>
        <w:t>…</w:t>
      </w:r>
      <w:r w:rsidR="00645B0B" w:rsidRPr="00BF2F77">
        <w:rPr>
          <w:color w:val="000000" w:themeColor="text1"/>
          <w:sz w:val="24"/>
          <w:szCs w:val="24"/>
        </w:rPr>
        <w:t xml:space="preserve">, en contra del </w:t>
      </w:r>
      <w:r w:rsidR="00CD7B02" w:rsidRPr="00BF2F77">
        <w:rPr>
          <w:b/>
          <w:color w:val="000000" w:themeColor="text1"/>
          <w:sz w:val="24"/>
          <w:szCs w:val="24"/>
        </w:rPr>
        <w:t>Artículo 7.5.1 de la Sesión Ordinaria 47-2015 del 12 de agosto del 2015</w:t>
      </w:r>
      <w:r w:rsidRPr="00BF2F77">
        <w:rPr>
          <w:color w:val="000000" w:themeColor="text1"/>
          <w:sz w:val="24"/>
          <w:szCs w:val="24"/>
        </w:rPr>
        <w:t xml:space="preserve">, </w:t>
      </w:r>
      <w:r w:rsidR="00AE6305" w:rsidRPr="00BF2F77">
        <w:rPr>
          <w:color w:val="000000" w:themeColor="text1"/>
          <w:sz w:val="24"/>
          <w:szCs w:val="24"/>
        </w:rPr>
        <w:t xml:space="preserve">adoptado por la Junta Directiva del Consejo de Transporte Público, </w:t>
      </w:r>
      <w:r w:rsidR="007C181C" w:rsidRPr="00BF2F77">
        <w:rPr>
          <w:color w:val="000000" w:themeColor="text1"/>
          <w:sz w:val="24"/>
          <w:szCs w:val="24"/>
        </w:rPr>
        <w:t>tramita</w:t>
      </w:r>
      <w:r w:rsidRPr="00BF2F77">
        <w:rPr>
          <w:color w:val="000000" w:themeColor="text1"/>
          <w:sz w:val="24"/>
          <w:szCs w:val="24"/>
        </w:rPr>
        <w:t>do</w:t>
      </w:r>
      <w:r w:rsidR="007C181C" w:rsidRPr="00BF2F77">
        <w:rPr>
          <w:color w:val="000000" w:themeColor="text1"/>
          <w:sz w:val="24"/>
          <w:szCs w:val="24"/>
        </w:rPr>
        <w:t xml:space="preserve"> en este Despacho bajo el </w:t>
      </w:r>
      <w:r w:rsidR="00CD7B02" w:rsidRPr="00BF2F77">
        <w:rPr>
          <w:b/>
          <w:color w:val="000000" w:themeColor="text1"/>
          <w:sz w:val="24"/>
          <w:szCs w:val="24"/>
        </w:rPr>
        <w:t xml:space="preserve">expediente administrativo </w:t>
      </w:r>
      <w:proofErr w:type="spellStart"/>
      <w:r w:rsidR="007C181C" w:rsidRPr="00BF2F77">
        <w:rPr>
          <w:b/>
          <w:color w:val="000000" w:themeColor="text1"/>
          <w:sz w:val="24"/>
          <w:szCs w:val="24"/>
        </w:rPr>
        <w:t>TAT</w:t>
      </w:r>
      <w:proofErr w:type="spellEnd"/>
      <w:r w:rsidR="007C181C" w:rsidRPr="00BF2F77">
        <w:rPr>
          <w:b/>
          <w:color w:val="000000" w:themeColor="text1"/>
          <w:sz w:val="24"/>
          <w:szCs w:val="24"/>
        </w:rPr>
        <w:t>-</w:t>
      </w:r>
      <w:r w:rsidR="00CD7B02" w:rsidRPr="00BF2F77">
        <w:rPr>
          <w:b/>
          <w:color w:val="000000" w:themeColor="text1"/>
          <w:sz w:val="24"/>
          <w:szCs w:val="24"/>
        </w:rPr>
        <w:t>408-15</w:t>
      </w:r>
      <w:r w:rsidR="007C181C" w:rsidRPr="00BF2F77">
        <w:rPr>
          <w:b/>
          <w:color w:val="000000" w:themeColor="text1"/>
          <w:sz w:val="24"/>
          <w:szCs w:val="24"/>
        </w:rPr>
        <w:t>.</w:t>
      </w:r>
    </w:p>
    <w:p w:rsidR="00D20CB6" w:rsidRPr="00BF2F77" w:rsidRDefault="00D20CB6" w:rsidP="00925154">
      <w:pPr>
        <w:spacing w:line="276" w:lineRule="auto"/>
        <w:ind w:left="0" w:right="0"/>
        <w:rPr>
          <w:color w:val="000000" w:themeColor="text1"/>
          <w:sz w:val="24"/>
          <w:szCs w:val="24"/>
        </w:rPr>
      </w:pPr>
    </w:p>
    <w:p w:rsidR="00374D55" w:rsidRPr="00BF2F77" w:rsidRDefault="00374D55" w:rsidP="00374D55">
      <w:pPr>
        <w:spacing w:line="276" w:lineRule="auto"/>
        <w:ind w:left="0" w:right="0"/>
        <w:jc w:val="center"/>
        <w:rPr>
          <w:b/>
          <w:color w:val="000000" w:themeColor="text1"/>
          <w:sz w:val="24"/>
          <w:szCs w:val="24"/>
        </w:rPr>
      </w:pPr>
      <w:r w:rsidRPr="00BF2F77">
        <w:rPr>
          <w:b/>
          <w:color w:val="000000" w:themeColor="text1"/>
          <w:sz w:val="24"/>
          <w:szCs w:val="24"/>
        </w:rPr>
        <w:t>RESULTANDO</w:t>
      </w:r>
    </w:p>
    <w:p w:rsidR="0085340E" w:rsidRPr="00BF2F77" w:rsidRDefault="0085340E" w:rsidP="00374D55">
      <w:pPr>
        <w:spacing w:line="276" w:lineRule="auto"/>
        <w:ind w:left="0" w:right="0"/>
        <w:rPr>
          <w:b/>
          <w:color w:val="000000" w:themeColor="text1"/>
          <w:sz w:val="24"/>
          <w:szCs w:val="24"/>
        </w:rPr>
      </w:pPr>
    </w:p>
    <w:p w:rsidR="004C2BBA" w:rsidRPr="00BF2F77" w:rsidRDefault="00843397" w:rsidP="00A97E85">
      <w:pPr>
        <w:spacing w:line="276" w:lineRule="auto"/>
        <w:ind w:left="0" w:right="0"/>
        <w:rPr>
          <w:color w:val="000000" w:themeColor="text1"/>
          <w:sz w:val="24"/>
          <w:szCs w:val="24"/>
        </w:rPr>
      </w:pPr>
      <w:r w:rsidRPr="00BF2F77">
        <w:rPr>
          <w:b/>
          <w:color w:val="000000" w:themeColor="text1"/>
          <w:sz w:val="24"/>
          <w:szCs w:val="24"/>
        </w:rPr>
        <w:t>PRIMERO. -</w:t>
      </w:r>
      <w:r w:rsidR="00374D55" w:rsidRPr="00BF2F77">
        <w:rPr>
          <w:b/>
          <w:color w:val="000000" w:themeColor="text1"/>
          <w:sz w:val="24"/>
          <w:szCs w:val="24"/>
        </w:rPr>
        <w:tab/>
      </w:r>
      <w:r w:rsidR="00374D55" w:rsidRPr="00BF2F77">
        <w:rPr>
          <w:color w:val="000000" w:themeColor="text1"/>
          <w:sz w:val="24"/>
          <w:szCs w:val="24"/>
        </w:rPr>
        <w:t xml:space="preserve">La Junta Directiva del Consejo de Transporte Público, en el </w:t>
      </w:r>
      <w:r w:rsidR="00CD7B02" w:rsidRPr="00BF2F77">
        <w:rPr>
          <w:b/>
          <w:color w:val="000000" w:themeColor="text1"/>
          <w:sz w:val="24"/>
          <w:szCs w:val="24"/>
        </w:rPr>
        <w:t>Artículo 7.5.1 de la Sesión Ordinaria 47-2015 del 12 de agosto del 2015</w:t>
      </w:r>
      <w:r w:rsidR="00374D55" w:rsidRPr="00BF2F77">
        <w:rPr>
          <w:color w:val="000000" w:themeColor="text1"/>
          <w:sz w:val="24"/>
          <w:szCs w:val="24"/>
        </w:rPr>
        <w:t xml:space="preserve">, conoce </w:t>
      </w:r>
      <w:r w:rsidR="00543C91" w:rsidRPr="00BF2F77">
        <w:rPr>
          <w:color w:val="000000" w:themeColor="text1"/>
          <w:sz w:val="24"/>
          <w:szCs w:val="24"/>
        </w:rPr>
        <w:t xml:space="preserve">el Oficio </w:t>
      </w:r>
      <w:proofErr w:type="spellStart"/>
      <w:r w:rsidR="00543C91" w:rsidRPr="00BF2F77">
        <w:rPr>
          <w:color w:val="000000" w:themeColor="text1"/>
          <w:sz w:val="24"/>
          <w:szCs w:val="24"/>
        </w:rPr>
        <w:t>DAJ</w:t>
      </w:r>
      <w:proofErr w:type="spellEnd"/>
      <w:r w:rsidR="00543C91" w:rsidRPr="00BF2F77">
        <w:rPr>
          <w:color w:val="000000" w:themeColor="text1"/>
          <w:sz w:val="24"/>
          <w:szCs w:val="24"/>
        </w:rPr>
        <w:t>-2015-00</w:t>
      </w:r>
      <w:r w:rsidR="00944EC2" w:rsidRPr="00BF2F77">
        <w:rPr>
          <w:color w:val="000000" w:themeColor="text1"/>
          <w:sz w:val="24"/>
          <w:szCs w:val="24"/>
        </w:rPr>
        <w:t>2712 del 7</w:t>
      </w:r>
      <w:r w:rsidR="00543C91" w:rsidRPr="00BF2F77">
        <w:rPr>
          <w:color w:val="000000" w:themeColor="text1"/>
          <w:sz w:val="24"/>
          <w:szCs w:val="24"/>
        </w:rPr>
        <w:t xml:space="preserve"> de a</w:t>
      </w:r>
      <w:r w:rsidR="00944EC2" w:rsidRPr="00BF2F77">
        <w:rPr>
          <w:color w:val="000000" w:themeColor="text1"/>
          <w:sz w:val="24"/>
          <w:szCs w:val="24"/>
        </w:rPr>
        <w:t>gost</w:t>
      </w:r>
      <w:r w:rsidR="00543C91" w:rsidRPr="00BF2F77">
        <w:rPr>
          <w:color w:val="000000" w:themeColor="text1"/>
          <w:sz w:val="24"/>
          <w:szCs w:val="24"/>
        </w:rPr>
        <w:t xml:space="preserve">o del 2015, emitido por la Dirección de Asuntos Jurídicos del Consejo de Transporte Público, </w:t>
      </w:r>
      <w:r w:rsidR="00A97E85" w:rsidRPr="00BF2F77">
        <w:rPr>
          <w:color w:val="000000" w:themeColor="text1"/>
          <w:sz w:val="24"/>
          <w:szCs w:val="24"/>
        </w:rPr>
        <w:t>y acoge sus recomendaciones y caduca l</w:t>
      </w:r>
      <w:r w:rsidR="004C2BBA" w:rsidRPr="00BF2F77">
        <w:rPr>
          <w:color w:val="000000" w:themeColor="text1"/>
          <w:sz w:val="24"/>
          <w:szCs w:val="24"/>
        </w:rPr>
        <w:t xml:space="preserve">a concesión de servicio público modalidad bajo la placa </w:t>
      </w:r>
      <w:proofErr w:type="spellStart"/>
      <w:r w:rsidR="004C2BBA" w:rsidRPr="00BF2F77">
        <w:rPr>
          <w:color w:val="000000" w:themeColor="text1"/>
          <w:sz w:val="24"/>
          <w:szCs w:val="24"/>
        </w:rPr>
        <w:t>TSJ-</w:t>
      </w:r>
      <w:r w:rsidR="004A4753">
        <w:rPr>
          <w:color w:val="000000" w:themeColor="text1"/>
          <w:sz w:val="24"/>
          <w:szCs w:val="24"/>
        </w:rPr>
        <w:t>XXXX</w:t>
      </w:r>
      <w:proofErr w:type="spellEnd"/>
      <w:r w:rsidR="007B74F7" w:rsidRPr="00BF2F77">
        <w:rPr>
          <w:color w:val="000000" w:themeColor="text1"/>
          <w:sz w:val="24"/>
          <w:szCs w:val="24"/>
        </w:rPr>
        <w:t xml:space="preserve">, notificándole al </w:t>
      </w:r>
      <w:r w:rsidR="004F1A9F" w:rsidRPr="00BF2F77">
        <w:rPr>
          <w:color w:val="000000" w:themeColor="text1"/>
          <w:sz w:val="24"/>
          <w:szCs w:val="24"/>
        </w:rPr>
        <w:t>concesionario</w:t>
      </w:r>
      <w:r w:rsidR="007B74F7" w:rsidRPr="00BF2F77">
        <w:rPr>
          <w:color w:val="000000" w:themeColor="text1"/>
          <w:sz w:val="24"/>
          <w:szCs w:val="24"/>
        </w:rPr>
        <w:t xml:space="preserve"> en </w:t>
      </w:r>
      <w:r w:rsidR="004F1A9F" w:rsidRPr="00BF2F77">
        <w:rPr>
          <w:color w:val="000000" w:themeColor="text1"/>
          <w:sz w:val="24"/>
          <w:szCs w:val="24"/>
        </w:rPr>
        <w:t>los</w:t>
      </w:r>
      <w:r w:rsidR="007B74F7" w:rsidRPr="00BF2F77">
        <w:rPr>
          <w:color w:val="000000" w:themeColor="text1"/>
          <w:sz w:val="24"/>
          <w:szCs w:val="24"/>
        </w:rPr>
        <w:t xml:space="preserve"> número</w:t>
      </w:r>
      <w:r w:rsidR="004F1A9F" w:rsidRPr="00BF2F77">
        <w:rPr>
          <w:color w:val="000000" w:themeColor="text1"/>
          <w:sz w:val="24"/>
          <w:szCs w:val="24"/>
        </w:rPr>
        <w:t>s</w:t>
      </w:r>
      <w:r w:rsidR="007B74F7" w:rsidRPr="00BF2F77">
        <w:rPr>
          <w:color w:val="000000" w:themeColor="text1"/>
          <w:sz w:val="24"/>
          <w:szCs w:val="24"/>
        </w:rPr>
        <w:t xml:space="preserve"> </w:t>
      </w:r>
      <w:proofErr w:type="spellStart"/>
      <w:r w:rsidR="004A4753">
        <w:rPr>
          <w:color w:val="000000" w:themeColor="text1"/>
          <w:sz w:val="24"/>
          <w:szCs w:val="24"/>
        </w:rPr>
        <w:t>XXXXX</w:t>
      </w:r>
      <w:proofErr w:type="spellEnd"/>
      <w:r w:rsidR="007B74F7" w:rsidRPr="00BF2F77">
        <w:rPr>
          <w:color w:val="000000" w:themeColor="text1"/>
          <w:sz w:val="24"/>
          <w:szCs w:val="24"/>
        </w:rPr>
        <w:t xml:space="preserve">, realizando los cinco intentos sin </w:t>
      </w:r>
      <w:r w:rsidR="004F1A9F" w:rsidRPr="00BF2F77">
        <w:rPr>
          <w:color w:val="000000" w:themeColor="text1"/>
          <w:sz w:val="24"/>
          <w:szCs w:val="24"/>
        </w:rPr>
        <w:t xml:space="preserve">que hubiese respuesta, y llevándose a cabo </w:t>
      </w:r>
      <w:r w:rsidR="00E13C1A" w:rsidRPr="00BF2F77">
        <w:rPr>
          <w:color w:val="000000" w:themeColor="text1"/>
          <w:sz w:val="24"/>
          <w:szCs w:val="24"/>
        </w:rPr>
        <w:t>la</w:t>
      </w:r>
      <w:r w:rsidR="004F1A9F" w:rsidRPr="00BF2F77">
        <w:rPr>
          <w:color w:val="000000" w:themeColor="text1"/>
          <w:sz w:val="24"/>
          <w:szCs w:val="24"/>
        </w:rPr>
        <w:t xml:space="preserve"> notificación automática</w:t>
      </w:r>
      <w:r w:rsidR="00E13C1A" w:rsidRPr="00BF2F77">
        <w:rPr>
          <w:color w:val="000000" w:themeColor="text1"/>
          <w:sz w:val="24"/>
          <w:szCs w:val="24"/>
        </w:rPr>
        <w:t xml:space="preserve"> el día </w:t>
      </w:r>
      <w:r w:rsidR="00E13C1A" w:rsidRPr="00BF2F77">
        <w:rPr>
          <w:b/>
          <w:color w:val="000000" w:themeColor="text1"/>
          <w:sz w:val="24"/>
          <w:szCs w:val="24"/>
        </w:rPr>
        <w:t>20 de agosto del 2015</w:t>
      </w:r>
      <w:r w:rsidR="004C2BBA" w:rsidRPr="00BF2F77">
        <w:rPr>
          <w:color w:val="000000" w:themeColor="text1"/>
          <w:sz w:val="24"/>
          <w:szCs w:val="24"/>
        </w:rPr>
        <w:t xml:space="preserve">. (Léanse los folios del 38 al 42 del expediente </w:t>
      </w:r>
      <w:proofErr w:type="spellStart"/>
      <w:r w:rsidR="004C2BBA" w:rsidRPr="00BF2F77">
        <w:rPr>
          <w:color w:val="000000" w:themeColor="text1"/>
          <w:sz w:val="24"/>
          <w:szCs w:val="24"/>
        </w:rPr>
        <w:t>TAT</w:t>
      </w:r>
      <w:proofErr w:type="spellEnd"/>
      <w:r w:rsidR="004C2BBA" w:rsidRPr="00BF2F77">
        <w:rPr>
          <w:color w:val="000000" w:themeColor="text1"/>
          <w:sz w:val="24"/>
          <w:szCs w:val="24"/>
        </w:rPr>
        <w:t>-408-2015)</w:t>
      </w:r>
    </w:p>
    <w:p w:rsidR="0085340E" w:rsidRPr="00BF2F77" w:rsidRDefault="0085340E" w:rsidP="009734F0">
      <w:pPr>
        <w:pStyle w:val="Default"/>
        <w:spacing w:line="276" w:lineRule="auto"/>
        <w:jc w:val="both"/>
        <w:rPr>
          <w:b/>
          <w:color w:val="000000" w:themeColor="text1"/>
        </w:rPr>
      </w:pPr>
    </w:p>
    <w:p w:rsidR="009734F0" w:rsidRPr="00BF2F77" w:rsidRDefault="00122115" w:rsidP="009734F0">
      <w:pPr>
        <w:pStyle w:val="Default"/>
        <w:spacing w:line="276" w:lineRule="auto"/>
        <w:jc w:val="both"/>
        <w:rPr>
          <w:color w:val="000000" w:themeColor="text1"/>
        </w:rPr>
      </w:pPr>
      <w:r w:rsidRPr="00BF2F77">
        <w:rPr>
          <w:b/>
          <w:color w:val="000000" w:themeColor="text1"/>
        </w:rPr>
        <w:t>SEGUNDO. -</w:t>
      </w:r>
      <w:r w:rsidR="00374D55" w:rsidRPr="00BF2F77">
        <w:rPr>
          <w:color w:val="000000" w:themeColor="text1"/>
        </w:rPr>
        <w:t xml:space="preserve"> </w:t>
      </w:r>
      <w:r w:rsidR="009734F0" w:rsidRPr="00BF2F77">
        <w:rPr>
          <w:color w:val="000000" w:themeColor="text1"/>
        </w:rPr>
        <w:t xml:space="preserve">El recurrente </w:t>
      </w:r>
      <w:proofErr w:type="spellStart"/>
      <w:r w:rsidR="00CD7B02" w:rsidRPr="00BF2F77">
        <w:rPr>
          <w:b/>
          <w:smallCaps/>
          <w:color w:val="000000" w:themeColor="text1"/>
        </w:rPr>
        <w:t>S</w:t>
      </w:r>
      <w:r w:rsidR="004A4753">
        <w:rPr>
          <w:b/>
          <w:smallCaps/>
          <w:color w:val="000000" w:themeColor="text1"/>
        </w:rPr>
        <w:t>LLC</w:t>
      </w:r>
      <w:proofErr w:type="spellEnd"/>
      <w:r w:rsidR="009734F0" w:rsidRPr="00BF2F77">
        <w:rPr>
          <w:color w:val="000000" w:themeColor="text1"/>
        </w:rPr>
        <w:t xml:space="preserve"> interpone el </w:t>
      </w:r>
      <w:r w:rsidR="00A833E4" w:rsidRPr="00BF2F77">
        <w:rPr>
          <w:b/>
          <w:color w:val="000000" w:themeColor="text1"/>
        </w:rPr>
        <w:t xml:space="preserve">6 de </w:t>
      </w:r>
      <w:r w:rsidR="00944EC2" w:rsidRPr="00BF2F77">
        <w:rPr>
          <w:b/>
          <w:color w:val="000000" w:themeColor="text1"/>
        </w:rPr>
        <w:t xml:space="preserve">octubre </w:t>
      </w:r>
      <w:r w:rsidR="009734F0" w:rsidRPr="00BF2F77">
        <w:rPr>
          <w:b/>
          <w:color w:val="000000" w:themeColor="text1"/>
        </w:rPr>
        <w:t>del 201</w:t>
      </w:r>
      <w:r w:rsidR="00A833E4" w:rsidRPr="00BF2F77">
        <w:rPr>
          <w:b/>
          <w:color w:val="000000" w:themeColor="text1"/>
        </w:rPr>
        <w:t>5</w:t>
      </w:r>
      <w:r w:rsidR="009734F0" w:rsidRPr="00BF2F77">
        <w:rPr>
          <w:color w:val="000000" w:themeColor="text1"/>
        </w:rPr>
        <w:t xml:space="preserve">, el </w:t>
      </w:r>
      <w:r w:rsidR="009734F0" w:rsidRPr="00BF2F77">
        <w:rPr>
          <w:b/>
          <w:smallCaps/>
          <w:color w:val="000000" w:themeColor="text1"/>
        </w:rPr>
        <w:t>Recurso de Revocatoria con Apelación en subsidi</w:t>
      </w:r>
      <w:r w:rsidR="008E658A" w:rsidRPr="00BF2F77">
        <w:rPr>
          <w:b/>
          <w:smallCaps/>
          <w:color w:val="000000" w:themeColor="text1"/>
        </w:rPr>
        <w:t>o y nulidad absoluta</w:t>
      </w:r>
      <w:r w:rsidR="009734F0" w:rsidRPr="00BF2F77">
        <w:rPr>
          <w:color w:val="000000" w:themeColor="text1"/>
        </w:rPr>
        <w:t xml:space="preserve"> </w:t>
      </w:r>
      <w:r w:rsidR="008E658A" w:rsidRPr="00BF2F77">
        <w:rPr>
          <w:color w:val="000000" w:themeColor="text1"/>
        </w:rPr>
        <w:t>en c</w:t>
      </w:r>
      <w:r w:rsidR="009734F0" w:rsidRPr="00BF2F77">
        <w:rPr>
          <w:color w:val="000000" w:themeColor="text1"/>
        </w:rPr>
        <w:t xml:space="preserve">ontra </w:t>
      </w:r>
      <w:r w:rsidR="00A75FB0" w:rsidRPr="00BF2F77">
        <w:rPr>
          <w:color w:val="000000" w:themeColor="text1"/>
        </w:rPr>
        <w:t>d</w:t>
      </w:r>
      <w:r w:rsidR="009734F0" w:rsidRPr="00BF2F77">
        <w:rPr>
          <w:color w:val="000000" w:themeColor="text1"/>
        </w:rPr>
        <w:t xml:space="preserve">el </w:t>
      </w:r>
      <w:r w:rsidR="00CD7B02" w:rsidRPr="00BF2F77">
        <w:rPr>
          <w:color w:val="000000" w:themeColor="text1"/>
        </w:rPr>
        <w:t>Artículo 7.5.1 de la Sesión Ordinaria 47-2015 del 12 de agosto del 2015</w:t>
      </w:r>
      <w:r w:rsidR="009734F0" w:rsidRPr="00BF2F77">
        <w:rPr>
          <w:color w:val="000000" w:themeColor="text1"/>
        </w:rPr>
        <w:t>, adoptado por la Junta Directiva del Consejo de Transporte Público, alegando en resumen lo siguiente:</w:t>
      </w:r>
    </w:p>
    <w:p w:rsidR="008E658A" w:rsidRPr="00BF2F77" w:rsidRDefault="008E658A" w:rsidP="009734F0">
      <w:pPr>
        <w:pStyle w:val="Default"/>
        <w:spacing w:line="276" w:lineRule="auto"/>
        <w:jc w:val="both"/>
        <w:rPr>
          <w:color w:val="548DD4" w:themeColor="text2" w:themeTint="99"/>
          <w:sz w:val="22"/>
          <w:szCs w:val="22"/>
        </w:rPr>
      </w:pPr>
    </w:p>
    <w:p w:rsidR="00122115" w:rsidRPr="00BF2F77" w:rsidRDefault="00B17DB5" w:rsidP="007127C8">
      <w:pPr>
        <w:pStyle w:val="Prrafodelista"/>
        <w:numPr>
          <w:ilvl w:val="0"/>
          <w:numId w:val="23"/>
        </w:numPr>
        <w:tabs>
          <w:tab w:val="left" w:pos="284"/>
        </w:tabs>
        <w:kinsoku w:val="0"/>
        <w:overflowPunct w:val="0"/>
        <w:ind w:left="0" w:right="0" w:firstLine="0"/>
        <w:contextualSpacing w:val="0"/>
        <w:textAlignment w:val="baseline"/>
        <w:rPr>
          <w:color w:val="000000" w:themeColor="text1"/>
          <w:sz w:val="22"/>
          <w:szCs w:val="22"/>
          <w:lang w:val="es-CR" w:eastAsia="es-CR"/>
        </w:rPr>
      </w:pPr>
      <w:r w:rsidRPr="00BF2F77">
        <w:rPr>
          <w:color w:val="000000" w:themeColor="text1"/>
          <w:sz w:val="22"/>
          <w:szCs w:val="22"/>
          <w:lang w:val="es-CR" w:eastAsia="es-CR"/>
        </w:rPr>
        <w:t>Que el acuerdo impugnado es improcedente y nulo.</w:t>
      </w:r>
    </w:p>
    <w:p w:rsidR="007127C8" w:rsidRPr="00BF2F77" w:rsidRDefault="00B17DB5" w:rsidP="007127C8">
      <w:pPr>
        <w:pStyle w:val="Prrafodelista"/>
        <w:numPr>
          <w:ilvl w:val="0"/>
          <w:numId w:val="23"/>
        </w:numPr>
        <w:kinsoku w:val="0"/>
        <w:overflowPunct w:val="0"/>
        <w:ind w:left="284" w:right="0" w:hanging="284"/>
        <w:contextualSpacing w:val="0"/>
        <w:textAlignment w:val="baseline"/>
        <w:rPr>
          <w:color w:val="000000" w:themeColor="text1"/>
          <w:sz w:val="22"/>
          <w:szCs w:val="22"/>
          <w:lang w:val="es-CR" w:eastAsia="es-CR"/>
        </w:rPr>
      </w:pPr>
      <w:r w:rsidRPr="00BF2F77">
        <w:rPr>
          <w:color w:val="000000" w:themeColor="text1"/>
          <w:sz w:val="22"/>
          <w:szCs w:val="22"/>
          <w:lang w:val="es-CR" w:eastAsia="es-CR"/>
        </w:rPr>
        <w:t>Que el Consejo indica que el poder era sobre la concesión, cuando era sobre sus asuntos, no sobre la placa en concesión, y que le dio poder para que le colaborara en el cambio de unidad.</w:t>
      </w:r>
    </w:p>
    <w:p w:rsidR="007127C8" w:rsidRPr="00BF2F77" w:rsidRDefault="00B17DB5" w:rsidP="007127C8">
      <w:pPr>
        <w:pStyle w:val="Prrafodelista"/>
        <w:numPr>
          <w:ilvl w:val="0"/>
          <w:numId w:val="23"/>
        </w:numPr>
        <w:tabs>
          <w:tab w:val="left" w:pos="284"/>
        </w:tabs>
        <w:kinsoku w:val="0"/>
        <w:overflowPunct w:val="0"/>
        <w:ind w:left="284" w:right="0" w:hanging="284"/>
        <w:contextualSpacing w:val="0"/>
        <w:textAlignment w:val="baseline"/>
        <w:rPr>
          <w:color w:val="000000" w:themeColor="text1"/>
          <w:sz w:val="22"/>
          <w:szCs w:val="22"/>
          <w:lang w:val="es-CR" w:eastAsia="es-CR"/>
        </w:rPr>
      </w:pPr>
      <w:r w:rsidRPr="00BF2F77">
        <w:rPr>
          <w:color w:val="000000" w:themeColor="text1"/>
          <w:sz w:val="22"/>
          <w:szCs w:val="22"/>
          <w:lang w:val="es-CR" w:eastAsia="es-CR"/>
        </w:rPr>
        <w:t>Si hubiera dado un poder generalísimo sobre la concesión, el mismo sería nulo, e insubsistente, inválido e ineficaz, porque la concesión no es suya por lo que no puede disponer de la misma.</w:t>
      </w:r>
    </w:p>
    <w:p w:rsidR="00B17DB5" w:rsidRPr="00BF2F77" w:rsidRDefault="00B17DB5" w:rsidP="007127C8">
      <w:pPr>
        <w:pStyle w:val="Prrafodelista"/>
        <w:numPr>
          <w:ilvl w:val="0"/>
          <w:numId w:val="23"/>
        </w:numPr>
        <w:tabs>
          <w:tab w:val="left" w:pos="284"/>
        </w:tabs>
        <w:kinsoku w:val="0"/>
        <w:overflowPunct w:val="0"/>
        <w:ind w:left="284" w:right="0" w:hanging="284"/>
        <w:contextualSpacing w:val="0"/>
        <w:textAlignment w:val="baseline"/>
        <w:rPr>
          <w:color w:val="000000" w:themeColor="text1"/>
          <w:sz w:val="22"/>
          <w:szCs w:val="22"/>
          <w:lang w:val="es-CR" w:eastAsia="es-CR"/>
        </w:rPr>
      </w:pPr>
      <w:r w:rsidRPr="00BF2F77">
        <w:rPr>
          <w:color w:val="000000" w:themeColor="text1"/>
          <w:sz w:val="22"/>
          <w:szCs w:val="22"/>
          <w:lang w:val="es-CR" w:eastAsia="es-CR"/>
        </w:rPr>
        <w:t>La solicitud de autorización para la cesión no fue presentada por el apoderado, sino que fue realizada en lo personal-por el suscrito.  Es decir, no hay nada indebido y el poder generalísimo que se le reprocha no ha sido utilizado en cuanto a la concesión, por lo que no se puede presumir que se haya concretado un traspaso de concesión.</w:t>
      </w:r>
    </w:p>
    <w:p w:rsidR="00B17DB5" w:rsidRPr="00BF2F77" w:rsidRDefault="00B17DB5" w:rsidP="007127C8">
      <w:pPr>
        <w:pStyle w:val="Prrafodelista"/>
        <w:numPr>
          <w:ilvl w:val="0"/>
          <w:numId w:val="23"/>
        </w:numPr>
        <w:tabs>
          <w:tab w:val="left" w:pos="284"/>
        </w:tabs>
        <w:kinsoku w:val="0"/>
        <w:overflowPunct w:val="0"/>
        <w:ind w:left="284" w:right="0" w:hanging="284"/>
        <w:contextualSpacing w:val="0"/>
        <w:textAlignment w:val="baseline"/>
        <w:rPr>
          <w:color w:val="000000" w:themeColor="text1"/>
          <w:sz w:val="22"/>
          <w:szCs w:val="22"/>
          <w:lang w:val="es-CR" w:eastAsia="es-CR"/>
        </w:rPr>
      </w:pPr>
      <w:r w:rsidRPr="00BF2F77">
        <w:rPr>
          <w:color w:val="000000" w:themeColor="text1"/>
          <w:sz w:val="22"/>
          <w:szCs w:val="22"/>
          <w:lang w:val="es-CR" w:eastAsia="es-CR"/>
        </w:rPr>
        <w:t>Hay un vicio de nulidad en cuanto al debido proceso y su derecho de defensa, pues no se le notificaron debidamente el procedimiento de caducidad y sus actuaciones, dejándosele en absoluta indefensión.</w:t>
      </w:r>
    </w:p>
    <w:p w:rsidR="00B17DB5" w:rsidRPr="00BF2F77" w:rsidRDefault="00317A9E" w:rsidP="007127C8">
      <w:pPr>
        <w:pStyle w:val="Prrafodelista"/>
        <w:numPr>
          <w:ilvl w:val="0"/>
          <w:numId w:val="23"/>
        </w:numPr>
        <w:tabs>
          <w:tab w:val="left" w:pos="284"/>
        </w:tabs>
        <w:kinsoku w:val="0"/>
        <w:overflowPunct w:val="0"/>
        <w:ind w:left="284" w:right="0" w:hanging="284"/>
        <w:contextualSpacing w:val="0"/>
        <w:textAlignment w:val="baseline"/>
        <w:rPr>
          <w:color w:val="000000" w:themeColor="text1"/>
          <w:sz w:val="22"/>
          <w:szCs w:val="22"/>
          <w:lang w:val="es-CR" w:eastAsia="es-CR"/>
        </w:rPr>
      </w:pPr>
      <w:r w:rsidRPr="00BF2F77">
        <w:rPr>
          <w:color w:val="000000" w:themeColor="text1"/>
          <w:sz w:val="22"/>
          <w:szCs w:val="22"/>
          <w:lang w:val="es-CR" w:eastAsia="es-CR"/>
        </w:rPr>
        <w:t xml:space="preserve">Que no obstante haber presentado un medio de </w:t>
      </w:r>
      <w:r w:rsidR="001500BE" w:rsidRPr="00BF2F77">
        <w:rPr>
          <w:color w:val="000000" w:themeColor="text1"/>
          <w:sz w:val="22"/>
          <w:szCs w:val="22"/>
          <w:lang w:val="es-CR" w:eastAsia="es-CR"/>
        </w:rPr>
        <w:t>notificaciones</w:t>
      </w:r>
      <w:r w:rsidRPr="00BF2F77">
        <w:rPr>
          <w:color w:val="000000" w:themeColor="text1"/>
          <w:sz w:val="22"/>
          <w:szCs w:val="22"/>
          <w:lang w:val="es-CR" w:eastAsia="es-CR"/>
        </w:rPr>
        <w:t xml:space="preserve"> </w:t>
      </w:r>
      <w:r w:rsidR="001500BE" w:rsidRPr="00BF2F77">
        <w:rPr>
          <w:color w:val="000000" w:themeColor="text1"/>
          <w:sz w:val="22"/>
          <w:szCs w:val="22"/>
          <w:lang w:val="es-CR" w:eastAsia="es-CR"/>
        </w:rPr>
        <w:t>general</w:t>
      </w:r>
      <w:r w:rsidRPr="00BF2F77">
        <w:rPr>
          <w:color w:val="000000" w:themeColor="text1"/>
          <w:sz w:val="22"/>
          <w:szCs w:val="22"/>
          <w:lang w:val="es-CR" w:eastAsia="es-CR"/>
        </w:rPr>
        <w:t xml:space="preserve"> en su contrato, al no poder </w:t>
      </w:r>
      <w:r w:rsidR="001500BE" w:rsidRPr="00BF2F77">
        <w:rPr>
          <w:color w:val="000000" w:themeColor="text1"/>
          <w:sz w:val="22"/>
          <w:szCs w:val="22"/>
          <w:lang w:val="es-CR" w:eastAsia="es-CR"/>
        </w:rPr>
        <w:t>notificársele</w:t>
      </w:r>
      <w:r w:rsidRPr="00BF2F77">
        <w:rPr>
          <w:color w:val="000000" w:themeColor="text1"/>
          <w:sz w:val="22"/>
          <w:szCs w:val="22"/>
          <w:lang w:val="es-CR" w:eastAsia="es-CR"/>
        </w:rPr>
        <w:t>, debieron hacerlo personalmente</w:t>
      </w:r>
      <w:r w:rsidR="001500BE" w:rsidRPr="00BF2F77">
        <w:rPr>
          <w:color w:val="000000" w:themeColor="text1"/>
          <w:sz w:val="22"/>
          <w:szCs w:val="22"/>
          <w:lang w:val="es-CR" w:eastAsia="es-CR"/>
        </w:rPr>
        <w:t>, de acuerdo al 243, debió ser una notificación personal, ni podía realizarse por fax, y no por medio de notificación automática, debió hacerse por publicación.</w:t>
      </w:r>
    </w:p>
    <w:p w:rsidR="001500BE" w:rsidRPr="00BF2F77" w:rsidRDefault="001500BE" w:rsidP="007127C8">
      <w:pPr>
        <w:pStyle w:val="Prrafodelista"/>
        <w:numPr>
          <w:ilvl w:val="0"/>
          <w:numId w:val="23"/>
        </w:numPr>
        <w:tabs>
          <w:tab w:val="left" w:pos="284"/>
        </w:tabs>
        <w:kinsoku w:val="0"/>
        <w:overflowPunct w:val="0"/>
        <w:ind w:left="284" w:right="0" w:hanging="284"/>
        <w:contextualSpacing w:val="0"/>
        <w:textAlignment w:val="baseline"/>
        <w:rPr>
          <w:color w:val="000000" w:themeColor="text1"/>
          <w:sz w:val="22"/>
          <w:szCs w:val="22"/>
          <w:lang w:val="es-CR" w:eastAsia="es-CR"/>
        </w:rPr>
      </w:pPr>
      <w:r w:rsidRPr="00BF2F77">
        <w:rPr>
          <w:color w:val="000000" w:themeColor="text1"/>
          <w:sz w:val="22"/>
          <w:szCs w:val="22"/>
          <w:lang w:val="es-CR" w:eastAsia="es-CR"/>
        </w:rPr>
        <w:lastRenderedPageBreak/>
        <w:t>El procedimiento además es nulo, y caduco por duración excesiva, tanto en su etapa previa como en su sustanciación.</w:t>
      </w:r>
    </w:p>
    <w:p w:rsidR="007127C8" w:rsidRPr="00BF2F77" w:rsidRDefault="006C2B4F" w:rsidP="007127C8">
      <w:pPr>
        <w:pStyle w:val="Prrafodelista"/>
        <w:numPr>
          <w:ilvl w:val="0"/>
          <w:numId w:val="23"/>
        </w:numPr>
        <w:tabs>
          <w:tab w:val="left" w:pos="284"/>
        </w:tabs>
        <w:kinsoku w:val="0"/>
        <w:overflowPunct w:val="0"/>
        <w:ind w:left="284" w:right="0" w:hanging="284"/>
        <w:contextualSpacing w:val="0"/>
        <w:textAlignment w:val="baseline"/>
        <w:rPr>
          <w:color w:val="000000" w:themeColor="text1"/>
          <w:sz w:val="22"/>
          <w:szCs w:val="22"/>
          <w:lang w:val="es-CR" w:eastAsia="es-CR"/>
        </w:rPr>
      </w:pPr>
      <w:r w:rsidRPr="00BF2F77">
        <w:rPr>
          <w:color w:val="000000" w:themeColor="text1"/>
          <w:sz w:val="22"/>
          <w:szCs w:val="22"/>
          <w:lang w:val="es-CR" w:eastAsia="es-CR"/>
        </w:rPr>
        <w:t>La Junta Directiva es puesta en conocimiento de su supuesta falta en el año 2011, y es hasta el 12 de agosto del 2015 que se dispone la caducidad de la concesión, transcurriendo cuatro años en total, tres desde que la falta se comunica a la Junta Directiva y se ordena el inicio del procedimiento, y un año desde el inicio del procedimiento hasta su terminación.</w:t>
      </w:r>
    </w:p>
    <w:p w:rsidR="00122115" w:rsidRPr="00BF2F77" w:rsidRDefault="006C2B4F" w:rsidP="007127C8">
      <w:pPr>
        <w:pStyle w:val="Prrafodelista"/>
        <w:numPr>
          <w:ilvl w:val="0"/>
          <w:numId w:val="23"/>
        </w:numPr>
        <w:tabs>
          <w:tab w:val="left" w:pos="284"/>
        </w:tabs>
        <w:kinsoku w:val="0"/>
        <w:overflowPunct w:val="0"/>
        <w:ind w:left="284" w:right="0" w:hanging="284"/>
        <w:contextualSpacing w:val="0"/>
        <w:textAlignment w:val="baseline"/>
        <w:rPr>
          <w:color w:val="000000" w:themeColor="text1"/>
          <w:sz w:val="22"/>
          <w:szCs w:val="22"/>
          <w:lang w:val="es-CR" w:eastAsia="es-CR"/>
        </w:rPr>
      </w:pPr>
      <w:r w:rsidRPr="00BF2F77">
        <w:rPr>
          <w:color w:val="000000" w:themeColor="text1"/>
          <w:sz w:val="22"/>
          <w:szCs w:val="22"/>
          <w:lang w:val="es-CR" w:eastAsia="es-CR"/>
        </w:rPr>
        <w:t>Solicita se anule y/o revoque el acto impugnando y se le libere de todo reproche, responsabilidad o sanción.</w:t>
      </w:r>
      <w:r w:rsidR="007127C8" w:rsidRPr="00BF2F77">
        <w:rPr>
          <w:color w:val="000000" w:themeColor="text1"/>
          <w:sz w:val="22"/>
          <w:szCs w:val="22"/>
          <w:lang w:val="es-CR" w:eastAsia="es-CR"/>
        </w:rPr>
        <w:t xml:space="preserve"> </w:t>
      </w:r>
      <w:r w:rsidR="00122115" w:rsidRPr="00BF2F77">
        <w:rPr>
          <w:color w:val="000000" w:themeColor="text1"/>
          <w:sz w:val="22"/>
          <w:szCs w:val="22"/>
          <w:lang w:val="es-CR" w:eastAsia="es-CR"/>
        </w:rPr>
        <w:t xml:space="preserve">(…)” (Léanse los folios del </w:t>
      </w:r>
      <w:r w:rsidR="007127C8" w:rsidRPr="00BF2F77">
        <w:rPr>
          <w:color w:val="000000" w:themeColor="text1"/>
          <w:sz w:val="22"/>
          <w:szCs w:val="22"/>
          <w:lang w:val="es-CR" w:eastAsia="es-CR"/>
        </w:rPr>
        <w:t>61</w:t>
      </w:r>
      <w:r w:rsidR="00122115" w:rsidRPr="00BF2F77">
        <w:rPr>
          <w:color w:val="000000" w:themeColor="text1"/>
          <w:sz w:val="22"/>
          <w:szCs w:val="22"/>
          <w:lang w:val="es-CR" w:eastAsia="es-CR"/>
        </w:rPr>
        <w:t xml:space="preserve"> al </w:t>
      </w:r>
      <w:r w:rsidR="007127C8" w:rsidRPr="00BF2F77">
        <w:rPr>
          <w:color w:val="000000" w:themeColor="text1"/>
          <w:sz w:val="22"/>
          <w:szCs w:val="22"/>
          <w:lang w:val="es-CR" w:eastAsia="es-CR"/>
        </w:rPr>
        <w:t>67</w:t>
      </w:r>
      <w:r w:rsidR="00122115" w:rsidRPr="00BF2F77">
        <w:rPr>
          <w:color w:val="000000" w:themeColor="text1"/>
          <w:sz w:val="22"/>
          <w:szCs w:val="22"/>
          <w:lang w:val="es-CR" w:eastAsia="es-CR"/>
        </w:rPr>
        <w:t xml:space="preserve"> del expediente </w:t>
      </w:r>
      <w:proofErr w:type="spellStart"/>
      <w:r w:rsidR="00122115" w:rsidRPr="00BF2F77">
        <w:rPr>
          <w:color w:val="000000" w:themeColor="text1"/>
          <w:sz w:val="22"/>
          <w:szCs w:val="22"/>
          <w:lang w:val="es-CR" w:eastAsia="es-CR"/>
        </w:rPr>
        <w:t>TAT</w:t>
      </w:r>
      <w:proofErr w:type="spellEnd"/>
      <w:r w:rsidR="00122115" w:rsidRPr="00BF2F77">
        <w:rPr>
          <w:color w:val="000000" w:themeColor="text1"/>
          <w:sz w:val="22"/>
          <w:szCs w:val="22"/>
          <w:lang w:val="es-CR" w:eastAsia="es-CR"/>
        </w:rPr>
        <w:t>-</w:t>
      </w:r>
      <w:r w:rsidR="00CD7B02" w:rsidRPr="00BF2F77">
        <w:rPr>
          <w:color w:val="000000" w:themeColor="text1"/>
          <w:sz w:val="22"/>
          <w:szCs w:val="22"/>
          <w:lang w:val="es-CR" w:eastAsia="es-CR"/>
        </w:rPr>
        <w:t>408-15</w:t>
      </w:r>
      <w:r w:rsidR="00122115" w:rsidRPr="00BF2F77">
        <w:rPr>
          <w:color w:val="000000" w:themeColor="text1"/>
          <w:sz w:val="22"/>
          <w:szCs w:val="22"/>
          <w:lang w:val="es-CR" w:eastAsia="es-CR"/>
        </w:rPr>
        <w:t>)</w:t>
      </w:r>
    </w:p>
    <w:p w:rsidR="0085340E" w:rsidRPr="00BF2F77" w:rsidRDefault="0085340E" w:rsidP="009734F0">
      <w:pPr>
        <w:pStyle w:val="Default"/>
        <w:spacing w:line="276" w:lineRule="auto"/>
        <w:jc w:val="both"/>
        <w:rPr>
          <w:color w:val="548DD4" w:themeColor="text2" w:themeTint="99"/>
        </w:rPr>
      </w:pPr>
    </w:p>
    <w:p w:rsidR="00374D55" w:rsidRPr="00BF2F77" w:rsidRDefault="00703876" w:rsidP="00374D55">
      <w:pPr>
        <w:spacing w:line="276" w:lineRule="auto"/>
        <w:ind w:left="0" w:right="0"/>
        <w:rPr>
          <w:color w:val="000000" w:themeColor="text1"/>
          <w:sz w:val="24"/>
          <w:szCs w:val="24"/>
        </w:rPr>
      </w:pPr>
      <w:r w:rsidRPr="00BF2F77">
        <w:rPr>
          <w:b/>
          <w:color w:val="000000" w:themeColor="text1"/>
          <w:sz w:val="24"/>
          <w:szCs w:val="24"/>
        </w:rPr>
        <w:t>TERCERO. -</w:t>
      </w:r>
      <w:r w:rsidR="00374D55" w:rsidRPr="00BF2F77">
        <w:rPr>
          <w:b/>
          <w:color w:val="000000" w:themeColor="text1"/>
          <w:sz w:val="24"/>
          <w:szCs w:val="24"/>
        </w:rPr>
        <w:tab/>
      </w:r>
      <w:r w:rsidR="00374D55" w:rsidRPr="00BF2F77">
        <w:rPr>
          <w:color w:val="000000" w:themeColor="text1"/>
          <w:sz w:val="24"/>
          <w:szCs w:val="24"/>
        </w:rPr>
        <w:t xml:space="preserve">La Junta Directiva del Consejo de Transporte Público, en el </w:t>
      </w:r>
      <w:r w:rsidR="00374D55" w:rsidRPr="00BF2F77">
        <w:rPr>
          <w:b/>
          <w:color w:val="000000" w:themeColor="text1"/>
          <w:sz w:val="24"/>
          <w:szCs w:val="24"/>
        </w:rPr>
        <w:t>Artículo 7.</w:t>
      </w:r>
      <w:r w:rsidR="00944EC2" w:rsidRPr="00BF2F77">
        <w:rPr>
          <w:b/>
          <w:color w:val="000000" w:themeColor="text1"/>
          <w:sz w:val="24"/>
          <w:szCs w:val="24"/>
        </w:rPr>
        <w:t>3.5</w:t>
      </w:r>
      <w:r w:rsidR="00374D55" w:rsidRPr="00BF2F77">
        <w:rPr>
          <w:b/>
          <w:color w:val="000000" w:themeColor="text1"/>
          <w:sz w:val="24"/>
          <w:szCs w:val="24"/>
        </w:rPr>
        <w:t xml:space="preserve"> de la Sesión Ordinaria 6</w:t>
      </w:r>
      <w:r w:rsidR="00944EC2" w:rsidRPr="00BF2F77">
        <w:rPr>
          <w:b/>
          <w:color w:val="000000" w:themeColor="text1"/>
          <w:sz w:val="24"/>
          <w:szCs w:val="24"/>
        </w:rPr>
        <w:t>5</w:t>
      </w:r>
      <w:r w:rsidR="00374D55" w:rsidRPr="00BF2F77">
        <w:rPr>
          <w:b/>
          <w:color w:val="000000" w:themeColor="text1"/>
          <w:sz w:val="24"/>
          <w:szCs w:val="24"/>
        </w:rPr>
        <w:t>-201</w:t>
      </w:r>
      <w:r w:rsidRPr="00BF2F77">
        <w:rPr>
          <w:b/>
          <w:color w:val="000000" w:themeColor="text1"/>
          <w:sz w:val="24"/>
          <w:szCs w:val="24"/>
        </w:rPr>
        <w:t>5</w:t>
      </w:r>
      <w:r w:rsidR="00374D55" w:rsidRPr="00BF2F77">
        <w:rPr>
          <w:b/>
          <w:color w:val="000000" w:themeColor="text1"/>
          <w:sz w:val="24"/>
          <w:szCs w:val="24"/>
        </w:rPr>
        <w:t xml:space="preserve"> del </w:t>
      </w:r>
      <w:r w:rsidRPr="00BF2F77">
        <w:rPr>
          <w:b/>
          <w:color w:val="000000" w:themeColor="text1"/>
          <w:sz w:val="24"/>
          <w:szCs w:val="24"/>
        </w:rPr>
        <w:t>1</w:t>
      </w:r>
      <w:r w:rsidR="00374D55" w:rsidRPr="00BF2F77">
        <w:rPr>
          <w:b/>
          <w:color w:val="000000" w:themeColor="text1"/>
          <w:sz w:val="24"/>
          <w:szCs w:val="24"/>
        </w:rPr>
        <w:t xml:space="preserve"> de</w:t>
      </w:r>
      <w:r w:rsidR="00944EC2" w:rsidRPr="00BF2F77">
        <w:rPr>
          <w:b/>
          <w:color w:val="000000" w:themeColor="text1"/>
          <w:sz w:val="24"/>
          <w:szCs w:val="24"/>
        </w:rPr>
        <w:t xml:space="preserve"> diciembre</w:t>
      </w:r>
      <w:r w:rsidR="00374D55" w:rsidRPr="00BF2F77">
        <w:rPr>
          <w:b/>
          <w:color w:val="000000" w:themeColor="text1"/>
          <w:sz w:val="24"/>
          <w:szCs w:val="24"/>
        </w:rPr>
        <w:t xml:space="preserve"> del 201</w:t>
      </w:r>
      <w:r w:rsidRPr="00BF2F77">
        <w:rPr>
          <w:b/>
          <w:color w:val="000000" w:themeColor="text1"/>
          <w:sz w:val="24"/>
          <w:szCs w:val="24"/>
        </w:rPr>
        <w:t>5</w:t>
      </w:r>
      <w:r w:rsidR="00374D55" w:rsidRPr="00BF2F77">
        <w:rPr>
          <w:color w:val="000000" w:themeColor="text1"/>
          <w:sz w:val="24"/>
          <w:szCs w:val="24"/>
        </w:rPr>
        <w:t xml:space="preserve">, conoce el informe emitido por la Dirección de Asuntos Jurídicos número </w:t>
      </w:r>
      <w:proofErr w:type="spellStart"/>
      <w:r w:rsidR="00BC2548" w:rsidRPr="00BF2F77">
        <w:rPr>
          <w:b/>
          <w:color w:val="000000" w:themeColor="text1"/>
          <w:sz w:val="24"/>
          <w:szCs w:val="24"/>
        </w:rPr>
        <w:t>DAJ</w:t>
      </w:r>
      <w:proofErr w:type="spellEnd"/>
      <w:r w:rsidR="00BC2548" w:rsidRPr="00BF2F77">
        <w:rPr>
          <w:b/>
          <w:color w:val="000000" w:themeColor="text1"/>
          <w:sz w:val="24"/>
          <w:szCs w:val="24"/>
        </w:rPr>
        <w:t>-201</w:t>
      </w:r>
      <w:r w:rsidRPr="00BF2F77">
        <w:rPr>
          <w:b/>
          <w:color w:val="000000" w:themeColor="text1"/>
          <w:sz w:val="24"/>
          <w:szCs w:val="24"/>
        </w:rPr>
        <w:t>5</w:t>
      </w:r>
      <w:r w:rsidR="00BC2548" w:rsidRPr="00BF2F77">
        <w:rPr>
          <w:b/>
          <w:color w:val="000000" w:themeColor="text1"/>
          <w:sz w:val="24"/>
          <w:szCs w:val="24"/>
        </w:rPr>
        <w:t>-0</w:t>
      </w:r>
      <w:r w:rsidRPr="00BF2F77">
        <w:rPr>
          <w:b/>
          <w:color w:val="000000" w:themeColor="text1"/>
          <w:sz w:val="24"/>
          <w:szCs w:val="24"/>
        </w:rPr>
        <w:t>0</w:t>
      </w:r>
      <w:r w:rsidR="00BC2548" w:rsidRPr="00BF2F77">
        <w:rPr>
          <w:b/>
          <w:color w:val="000000" w:themeColor="text1"/>
          <w:sz w:val="24"/>
          <w:szCs w:val="24"/>
        </w:rPr>
        <w:t>3</w:t>
      </w:r>
      <w:r w:rsidR="00944EC2" w:rsidRPr="00BF2F77">
        <w:rPr>
          <w:b/>
          <w:color w:val="000000" w:themeColor="text1"/>
          <w:sz w:val="24"/>
          <w:szCs w:val="24"/>
        </w:rPr>
        <w:t>865</w:t>
      </w:r>
      <w:r w:rsidR="00BC2548" w:rsidRPr="00BF2F77">
        <w:rPr>
          <w:color w:val="000000" w:themeColor="text1"/>
          <w:sz w:val="24"/>
          <w:szCs w:val="24"/>
        </w:rPr>
        <w:t xml:space="preserve"> del </w:t>
      </w:r>
      <w:r w:rsidR="00944EC2" w:rsidRPr="00BF2F77">
        <w:rPr>
          <w:color w:val="000000" w:themeColor="text1"/>
          <w:sz w:val="24"/>
          <w:szCs w:val="24"/>
        </w:rPr>
        <w:t>10</w:t>
      </w:r>
      <w:r w:rsidR="00BC2548" w:rsidRPr="00BF2F77">
        <w:rPr>
          <w:color w:val="000000" w:themeColor="text1"/>
          <w:sz w:val="24"/>
          <w:szCs w:val="24"/>
        </w:rPr>
        <w:t xml:space="preserve"> de </w:t>
      </w:r>
      <w:r w:rsidRPr="00BF2F77">
        <w:rPr>
          <w:color w:val="000000" w:themeColor="text1"/>
          <w:sz w:val="24"/>
          <w:szCs w:val="24"/>
        </w:rPr>
        <w:t>noviembre del 2015</w:t>
      </w:r>
      <w:r w:rsidR="00374D55" w:rsidRPr="00BF2F77">
        <w:rPr>
          <w:color w:val="000000" w:themeColor="text1"/>
          <w:sz w:val="24"/>
          <w:szCs w:val="24"/>
        </w:rPr>
        <w:t xml:space="preserve">, acoge las recomendaciones del informe y acuerda rechazar el Recurso de </w:t>
      </w:r>
      <w:r w:rsidR="00A97E85" w:rsidRPr="00BF2F77">
        <w:rPr>
          <w:color w:val="000000" w:themeColor="text1"/>
          <w:sz w:val="24"/>
          <w:szCs w:val="24"/>
        </w:rPr>
        <w:t>Revocatoria,</w:t>
      </w:r>
      <w:r w:rsidR="00374D55" w:rsidRPr="00BF2F77">
        <w:rPr>
          <w:color w:val="000000" w:themeColor="text1"/>
          <w:sz w:val="24"/>
          <w:szCs w:val="24"/>
        </w:rPr>
        <w:t xml:space="preserve"> </w:t>
      </w:r>
      <w:r w:rsidR="00A97E85" w:rsidRPr="00BF2F77">
        <w:rPr>
          <w:color w:val="000000" w:themeColor="text1"/>
          <w:sz w:val="24"/>
          <w:szCs w:val="24"/>
        </w:rPr>
        <w:t xml:space="preserve">así como la nulidad alegada, </w:t>
      </w:r>
      <w:r w:rsidR="00374D55" w:rsidRPr="00BF2F77">
        <w:rPr>
          <w:color w:val="000000" w:themeColor="text1"/>
          <w:sz w:val="24"/>
          <w:szCs w:val="24"/>
        </w:rPr>
        <w:t xml:space="preserve">y dispone elevar ante este Tribunal la Apelación respectiva. </w:t>
      </w:r>
    </w:p>
    <w:p w:rsidR="00374D55" w:rsidRPr="00BF2F77" w:rsidRDefault="00374D55" w:rsidP="00374D55">
      <w:pPr>
        <w:spacing w:line="276" w:lineRule="auto"/>
        <w:ind w:left="0" w:right="0"/>
        <w:rPr>
          <w:color w:val="000000" w:themeColor="text1"/>
          <w:sz w:val="24"/>
          <w:szCs w:val="24"/>
        </w:rPr>
      </w:pPr>
    </w:p>
    <w:p w:rsidR="00374D55" w:rsidRPr="00BF2F77" w:rsidRDefault="007D1720" w:rsidP="007D1720">
      <w:pPr>
        <w:spacing w:line="276" w:lineRule="auto"/>
        <w:ind w:left="0" w:right="0"/>
        <w:rPr>
          <w:color w:val="000000" w:themeColor="text1"/>
          <w:sz w:val="24"/>
          <w:szCs w:val="24"/>
        </w:rPr>
      </w:pPr>
      <w:r w:rsidRPr="00BF2F77">
        <w:rPr>
          <w:b/>
          <w:color w:val="000000" w:themeColor="text1"/>
          <w:sz w:val="24"/>
          <w:szCs w:val="24"/>
        </w:rPr>
        <w:t>CUARTO. -</w:t>
      </w:r>
      <w:r w:rsidR="00374D55" w:rsidRPr="00BF2F77">
        <w:rPr>
          <w:b/>
          <w:color w:val="000000" w:themeColor="text1"/>
          <w:sz w:val="24"/>
          <w:szCs w:val="24"/>
        </w:rPr>
        <w:tab/>
      </w:r>
      <w:r w:rsidRPr="00BF2F77">
        <w:rPr>
          <w:color w:val="000000" w:themeColor="text1"/>
          <w:sz w:val="24"/>
          <w:szCs w:val="24"/>
        </w:rPr>
        <w:t>E</w:t>
      </w:r>
      <w:r w:rsidR="00374D55" w:rsidRPr="00BF2F77">
        <w:rPr>
          <w:color w:val="000000" w:themeColor="text1"/>
          <w:sz w:val="24"/>
          <w:szCs w:val="24"/>
        </w:rPr>
        <w:t xml:space="preserve">n razón a lo anterior y en observancia de los términos y prescripciones de Ley, se procede a determinar lo pertinente. </w:t>
      </w:r>
    </w:p>
    <w:p w:rsidR="0085340E" w:rsidRPr="00BF2F77" w:rsidRDefault="0085340E" w:rsidP="00864CD4">
      <w:pPr>
        <w:tabs>
          <w:tab w:val="left" w:pos="5067"/>
        </w:tabs>
        <w:spacing w:line="276" w:lineRule="auto"/>
        <w:ind w:left="0" w:right="0"/>
        <w:rPr>
          <w:color w:val="000000" w:themeColor="text1"/>
          <w:sz w:val="24"/>
          <w:szCs w:val="24"/>
        </w:rPr>
      </w:pPr>
    </w:p>
    <w:p w:rsidR="00374D55" w:rsidRPr="00BF2F77" w:rsidRDefault="00374D55" w:rsidP="00374D55">
      <w:pPr>
        <w:spacing w:line="276" w:lineRule="auto"/>
        <w:ind w:left="0" w:right="0"/>
        <w:rPr>
          <w:b/>
          <w:color w:val="000000" w:themeColor="text1"/>
          <w:sz w:val="24"/>
          <w:szCs w:val="24"/>
        </w:rPr>
      </w:pPr>
      <w:r w:rsidRPr="00BF2F77">
        <w:rPr>
          <w:b/>
          <w:color w:val="000000" w:themeColor="text1"/>
          <w:sz w:val="24"/>
          <w:szCs w:val="24"/>
        </w:rPr>
        <w:t>REDACTA EL JUEZ</w:t>
      </w:r>
      <w:r w:rsidR="004B4513" w:rsidRPr="00BF2F77">
        <w:rPr>
          <w:b/>
          <w:color w:val="000000" w:themeColor="text1"/>
          <w:sz w:val="24"/>
          <w:szCs w:val="24"/>
        </w:rPr>
        <w:t xml:space="preserve"> </w:t>
      </w:r>
      <w:proofErr w:type="spellStart"/>
      <w:r w:rsidRPr="00BF2F77">
        <w:rPr>
          <w:b/>
          <w:color w:val="000000" w:themeColor="text1"/>
          <w:sz w:val="24"/>
          <w:szCs w:val="24"/>
        </w:rPr>
        <w:t>PORTUGUEZ</w:t>
      </w:r>
      <w:proofErr w:type="spellEnd"/>
      <w:r w:rsidRPr="00BF2F77">
        <w:rPr>
          <w:b/>
          <w:color w:val="000000" w:themeColor="text1"/>
          <w:sz w:val="24"/>
          <w:szCs w:val="24"/>
        </w:rPr>
        <w:t xml:space="preserve"> MÉNDEZ;</w:t>
      </w:r>
    </w:p>
    <w:p w:rsidR="00374D55" w:rsidRPr="00BF2F77" w:rsidRDefault="00374D55" w:rsidP="00374D55">
      <w:pPr>
        <w:pStyle w:val="Sinespaciado"/>
        <w:spacing w:line="276" w:lineRule="auto"/>
        <w:rPr>
          <w:color w:val="000000" w:themeColor="text1"/>
          <w:lang w:val="es-CR"/>
        </w:rPr>
      </w:pPr>
    </w:p>
    <w:p w:rsidR="00374D55" w:rsidRPr="00BF2F77" w:rsidRDefault="00B209E3" w:rsidP="00374D55">
      <w:pPr>
        <w:spacing w:line="276" w:lineRule="auto"/>
        <w:ind w:left="0" w:right="0"/>
        <w:jc w:val="center"/>
        <w:rPr>
          <w:b/>
          <w:color w:val="000000" w:themeColor="text1"/>
          <w:sz w:val="24"/>
          <w:szCs w:val="24"/>
        </w:rPr>
      </w:pPr>
      <w:r w:rsidRPr="00BF2F77">
        <w:rPr>
          <w:b/>
          <w:color w:val="000000" w:themeColor="text1"/>
          <w:sz w:val="24"/>
          <w:szCs w:val="24"/>
        </w:rPr>
        <w:t>CONSIDERANDO</w:t>
      </w:r>
    </w:p>
    <w:p w:rsidR="00374D55" w:rsidRPr="00BF2F77" w:rsidRDefault="00374D55" w:rsidP="0085340E">
      <w:pPr>
        <w:spacing w:line="276" w:lineRule="auto"/>
        <w:ind w:left="0" w:right="0"/>
        <w:rPr>
          <w:b/>
          <w:color w:val="000000" w:themeColor="text1"/>
          <w:sz w:val="24"/>
          <w:szCs w:val="24"/>
        </w:rPr>
      </w:pPr>
    </w:p>
    <w:p w:rsidR="002C1262" w:rsidRPr="00BF2F77" w:rsidRDefault="002C1262" w:rsidP="0085340E">
      <w:pPr>
        <w:pStyle w:val="Style9"/>
        <w:numPr>
          <w:ilvl w:val="0"/>
          <w:numId w:val="15"/>
        </w:numPr>
        <w:tabs>
          <w:tab w:val="left" w:pos="426"/>
        </w:tabs>
        <w:kinsoku w:val="0"/>
        <w:autoSpaceDE/>
        <w:autoSpaceDN/>
        <w:spacing w:before="0" w:line="276" w:lineRule="auto"/>
        <w:ind w:left="0" w:right="0" w:firstLine="0"/>
        <w:rPr>
          <w:rStyle w:val="CharacterStyle6"/>
          <w:color w:val="000000" w:themeColor="text1"/>
          <w:sz w:val="24"/>
          <w:szCs w:val="24"/>
          <w:lang w:val="es-CR"/>
        </w:rPr>
      </w:pPr>
      <w:r w:rsidRPr="00BF2F77">
        <w:rPr>
          <w:rStyle w:val="CharacterStyle6"/>
          <w:b/>
          <w:bCs/>
          <w:color w:val="000000" w:themeColor="text1"/>
          <w:sz w:val="24"/>
          <w:szCs w:val="24"/>
          <w:lang w:val="es-CR"/>
        </w:rPr>
        <w:t xml:space="preserve">COMPETENCIA. - </w:t>
      </w:r>
      <w:r w:rsidRPr="00BF2F77">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BF2F77">
        <w:rPr>
          <w:rStyle w:val="CharacterStyle6"/>
          <w:color w:val="000000" w:themeColor="text1"/>
          <w:spacing w:val="1"/>
          <w:w w:val="105"/>
          <w:sz w:val="24"/>
          <w:szCs w:val="24"/>
          <w:lang w:val="es-CR"/>
        </w:rPr>
        <w:t xml:space="preserve">Ley Reguladora del Servicio Público de Transporte Remunerado de Personas en Vehículos </w:t>
      </w:r>
      <w:r w:rsidRPr="00BF2F77">
        <w:rPr>
          <w:rStyle w:val="CharacterStyle6"/>
          <w:color w:val="000000" w:themeColor="text1"/>
          <w:spacing w:val="-1"/>
          <w:w w:val="105"/>
          <w:sz w:val="24"/>
          <w:szCs w:val="24"/>
          <w:lang w:val="es-CR"/>
        </w:rPr>
        <w:t>en la Modalidad de Taxi N° 7969 del 22 de diciembre de 1999.</w:t>
      </w:r>
    </w:p>
    <w:p w:rsidR="002C1262" w:rsidRPr="00BF2F77" w:rsidRDefault="002C1262" w:rsidP="0085340E">
      <w:pPr>
        <w:pStyle w:val="Style9"/>
        <w:tabs>
          <w:tab w:val="left" w:pos="426"/>
        </w:tabs>
        <w:kinsoku w:val="0"/>
        <w:autoSpaceDE/>
        <w:autoSpaceDN/>
        <w:spacing w:before="0" w:line="276" w:lineRule="auto"/>
        <w:ind w:left="0" w:right="0"/>
        <w:rPr>
          <w:rStyle w:val="CharacterStyle6"/>
          <w:color w:val="000000" w:themeColor="text1"/>
          <w:sz w:val="24"/>
          <w:szCs w:val="24"/>
          <w:lang w:val="es-CR"/>
        </w:rPr>
      </w:pPr>
    </w:p>
    <w:p w:rsidR="00BF2F77" w:rsidRPr="00BF2F77" w:rsidRDefault="002C1262" w:rsidP="0085340E">
      <w:pPr>
        <w:pStyle w:val="Style9"/>
        <w:numPr>
          <w:ilvl w:val="0"/>
          <w:numId w:val="15"/>
        </w:numPr>
        <w:tabs>
          <w:tab w:val="left" w:pos="426"/>
        </w:tabs>
        <w:kinsoku w:val="0"/>
        <w:autoSpaceDE/>
        <w:autoSpaceDN/>
        <w:spacing w:before="0" w:line="276" w:lineRule="auto"/>
        <w:ind w:left="0" w:right="0" w:firstLine="0"/>
        <w:rPr>
          <w:lang w:val="es-CR"/>
        </w:rPr>
      </w:pPr>
      <w:r w:rsidRPr="00BF2F77">
        <w:rPr>
          <w:rStyle w:val="CharacterStyle6"/>
          <w:b/>
          <w:bCs/>
          <w:color w:val="000000" w:themeColor="text1"/>
          <w:spacing w:val="-2"/>
          <w:sz w:val="24"/>
          <w:szCs w:val="24"/>
          <w:lang w:val="es-CR"/>
        </w:rPr>
        <w:t xml:space="preserve">ADMISIBILIDAD DEL RECURSO. </w:t>
      </w:r>
      <w:r w:rsidRPr="00BF2F77">
        <w:rPr>
          <w:b/>
          <w:color w:val="000000" w:themeColor="text1"/>
          <w:sz w:val="24"/>
          <w:szCs w:val="24"/>
          <w:u w:val="single"/>
          <w:lang w:val="es-CR"/>
        </w:rPr>
        <w:t>En cuanto a la Legitimación</w:t>
      </w:r>
      <w:r w:rsidRPr="00BF2F77">
        <w:rPr>
          <w:b/>
          <w:color w:val="000000" w:themeColor="text1"/>
          <w:sz w:val="24"/>
          <w:szCs w:val="24"/>
          <w:lang w:val="es-CR"/>
        </w:rPr>
        <w:t xml:space="preserve">: </w:t>
      </w:r>
      <w:r w:rsidRPr="00BF2F77">
        <w:rPr>
          <w:color w:val="000000" w:themeColor="text1"/>
          <w:sz w:val="24"/>
          <w:szCs w:val="24"/>
          <w:lang w:val="es-CR"/>
        </w:rPr>
        <w:t>De conformidad con lo dispuesto en el artículo 11 de la ley 7969 “Ley Reguladora del Servicio Público de Transporte Remunerado de Personas en Vehículos en la Modalidad de Taxi”</w:t>
      </w:r>
      <w:r w:rsidR="00CB7670" w:rsidRPr="00BF2F77">
        <w:rPr>
          <w:color w:val="000000" w:themeColor="text1"/>
          <w:sz w:val="24"/>
          <w:szCs w:val="24"/>
          <w:lang w:val="es-CR"/>
        </w:rPr>
        <w:t>, se tiene que a</w:t>
      </w:r>
      <w:r w:rsidRPr="00BF2F77">
        <w:rPr>
          <w:color w:val="000000" w:themeColor="text1"/>
          <w:sz w:val="24"/>
          <w:szCs w:val="24"/>
          <w:lang w:val="es-CR"/>
        </w:rPr>
        <w:t xml:space="preserve">l recurrente </w:t>
      </w:r>
      <w:proofErr w:type="spellStart"/>
      <w:r w:rsidR="00A75FB0" w:rsidRPr="00BF2F77">
        <w:rPr>
          <w:b/>
          <w:color w:val="000000" w:themeColor="text1"/>
          <w:sz w:val="24"/>
          <w:szCs w:val="24"/>
          <w:lang w:val="es-CR"/>
        </w:rPr>
        <w:t>L</w:t>
      </w:r>
      <w:r w:rsidR="004A4753">
        <w:rPr>
          <w:b/>
          <w:color w:val="000000" w:themeColor="text1"/>
          <w:sz w:val="24"/>
          <w:szCs w:val="24"/>
          <w:lang w:val="es-CR"/>
        </w:rPr>
        <w:t>C</w:t>
      </w:r>
      <w:proofErr w:type="spellEnd"/>
      <w:r w:rsidR="00A75FB0" w:rsidRPr="00BF2F77">
        <w:rPr>
          <w:color w:val="000000" w:themeColor="text1"/>
          <w:sz w:val="24"/>
          <w:szCs w:val="24"/>
          <w:lang w:val="es-CR"/>
        </w:rPr>
        <w:t xml:space="preserve"> </w:t>
      </w:r>
      <w:r w:rsidRPr="00BF2F77">
        <w:rPr>
          <w:color w:val="000000" w:themeColor="text1"/>
          <w:sz w:val="24"/>
          <w:szCs w:val="24"/>
          <w:lang w:val="es-CR"/>
        </w:rPr>
        <w:t xml:space="preserve">se le </w:t>
      </w:r>
      <w:r w:rsidR="00CB7670" w:rsidRPr="00BF2F77">
        <w:rPr>
          <w:color w:val="000000" w:themeColor="text1"/>
          <w:sz w:val="24"/>
          <w:szCs w:val="24"/>
          <w:lang w:val="es-CR"/>
        </w:rPr>
        <w:t xml:space="preserve">decretó la caducidad de la concesión de </w:t>
      </w:r>
      <w:r w:rsidR="00346A1C" w:rsidRPr="00BF2F77">
        <w:rPr>
          <w:color w:val="000000" w:themeColor="text1"/>
          <w:sz w:val="24"/>
          <w:szCs w:val="24"/>
          <w:lang w:val="es-CR"/>
        </w:rPr>
        <w:t xml:space="preserve">servicio público modalidad taxi bajo la placa </w:t>
      </w:r>
      <w:proofErr w:type="spellStart"/>
      <w:r w:rsidR="00346A1C" w:rsidRPr="00BF2F77">
        <w:rPr>
          <w:color w:val="000000" w:themeColor="text1"/>
          <w:sz w:val="24"/>
          <w:szCs w:val="24"/>
          <w:lang w:val="es-CR"/>
        </w:rPr>
        <w:t>TSJ-</w:t>
      </w:r>
      <w:r w:rsidR="004A4753">
        <w:rPr>
          <w:color w:val="000000" w:themeColor="text1"/>
          <w:sz w:val="24"/>
          <w:szCs w:val="24"/>
          <w:lang w:val="es-CR"/>
        </w:rPr>
        <w:t>XXXX</w:t>
      </w:r>
      <w:proofErr w:type="spellEnd"/>
      <w:r w:rsidR="00346A1C" w:rsidRPr="00BF2F77">
        <w:rPr>
          <w:color w:val="000000" w:themeColor="text1"/>
          <w:sz w:val="24"/>
          <w:szCs w:val="24"/>
          <w:lang w:val="es-CR"/>
        </w:rPr>
        <w:t xml:space="preserve"> en </w:t>
      </w:r>
      <w:r w:rsidRPr="00BF2F77">
        <w:rPr>
          <w:color w:val="000000" w:themeColor="text1"/>
          <w:sz w:val="24"/>
          <w:szCs w:val="24"/>
          <w:lang w:val="es-CR"/>
        </w:rPr>
        <w:t xml:space="preserve">el </w:t>
      </w:r>
      <w:r w:rsidR="00CD7B02" w:rsidRPr="00BF2F77">
        <w:rPr>
          <w:b/>
          <w:color w:val="000000" w:themeColor="text1"/>
          <w:sz w:val="24"/>
          <w:szCs w:val="24"/>
          <w:lang w:val="es-CR"/>
        </w:rPr>
        <w:t>Artículo 7.5.1 de la Sesión Ordinaria 47-2015 del 12 de agosto del 2015</w:t>
      </w:r>
      <w:r w:rsidRPr="00BF2F77">
        <w:rPr>
          <w:color w:val="000000" w:themeColor="text1"/>
          <w:sz w:val="24"/>
          <w:szCs w:val="24"/>
          <w:lang w:val="es-CR"/>
        </w:rPr>
        <w:t xml:space="preserve">, adoptado por la Junta Directiva del Consejo de Transporte Público, de ahí que el recurrente ostenta legitimación para impugnar el Acuerdo referido.  </w:t>
      </w:r>
      <w:r w:rsidRPr="00BF2F77">
        <w:rPr>
          <w:b/>
          <w:iCs/>
          <w:sz w:val="24"/>
          <w:szCs w:val="24"/>
          <w:u w:val="single"/>
          <w:lang w:val="es-CR"/>
        </w:rPr>
        <w:t>En cuanto al plazo</w:t>
      </w:r>
      <w:r w:rsidRPr="00BF2F77">
        <w:rPr>
          <w:b/>
          <w:iCs/>
          <w:sz w:val="24"/>
          <w:szCs w:val="24"/>
          <w:lang w:val="es-CR"/>
        </w:rPr>
        <w:t>:</w:t>
      </w:r>
      <w:r w:rsidRPr="00BF2F77">
        <w:rPr>
          <w:iCs/>
          <w:sz w:val="24"/>
          <w:szCs w:val="24"/>
          <w:lang w:val="es-CR"/>
        </w:rPr>
        <w:t xml:space="preserve"> El acto administrativo que </w:t>
      </w:r>
      <w:r w:rsidRPr="00BF2F77">
        <w:rPr>
          <w:sz w:val="24"/>
          <w:szCs w:val="24"/>
          <w:lang w:val="es-CR"/>
        </w:rPr>
        <w:t>d</w:t>
      </w:r>
      <w:r w:rsidR="00F83EF0" w:rsidRPr="00BF2F77">
        <w:rPr>
          <w:sz w:val="24"/>
          <w:szCs w:val="24"/>
          <w:lang w:val="es-CR"/>
        </w:rPr>
        <w:t xml:space="preserve">enegó la solicitud de permiso de servicio público de transporte </w:t>
      </w:r>
      <w:r w:rsidR="00F83EF0" w:rsidRPr="00BF2F77">
        <w:rPr>
          <w:iCs/>
          <w:sz w:val="24"/>
          <w:szCs w:val="24"/>
          <w:lang w:val="es-CR"/>
        </w:rPr>
        <w:t xml:space="preserve">remunerado de personas modalidad taxi, </w:t>
      </w:r>
      <w:r w:rsidRPr="00BF2F77">
        <w:rPr>
          <w:iCs/>
          <w:sz w:val="24"/>
          <w:szCs w:val="24"/>
          <w:lang w:val="es-CR"/>
        </w:rPr>
        <w:t>fue notificado</w:t>
      </w:r>
      <w:r w:rsidR="00E13C1A" w:rsidRPr="00BF2F77">
        <w:rPr>
          <w:iCs/>
          <w:sz w:val="24"/>
          <w:szCs w:val="24"/>
          <w:lang w:val="es-CR"/>
        </w:rPr>
        <w:t xml:space="preserve"> en forma automática el día</w:t>
      </w:r>
      <w:r w:rsidR="00E13C1A" w:rsidRPr="00BF2F77">
        <w:rPr>
          <w:sz w:val="24"/>
          <w:szCs w:val="24"/>
          <w:lang w:val="es-CR"/>
        </w:rPr>
        <w:t xml:space="preserve"> </w:t>
      </w:r>
      <w:r w:rsidR="00E13C1A" w:rsidRPr="00BF2F77">
        <w:rPr>
          <w:b/>
          <w:sz w:val="24"/>
          <w:szCs w:val="24"/>
          <w:lang w:val="es-CR"/>
        </w:rPr>
        <w:t>20 de agosto del 2015</w:t>
      </w:r>
      <w:r w:rsidR="00E13C1A" w:rsidRPr="00BF2F77">
        <w:rPr>
          <w:sz w:val="24"/>
          <w:szCs w:val="24"/>
          <w:lang w:val="es-CR"/>
        </w:rPr>
        <w:t xml:space="preserve">; debido a que </w:t>
      </w:r>
      <w:r w:rsidR="005B6C4F" w:rsidRPr="00BF2F77">
        <w:rPr>
          <w:sz w:val="24"/>
          <w:szCs w:val="24"/>
          <w:lang w:val="es-CR"/>
        </w:rPr>
        <w:t>en el</w:t>
      </w:r>
      <w:r w:rsidR="00E13C1A" w:rsidRPr="00BF2F77">
        <w:rPr>
          <w:sz w:val="24"/>
          <w:szCs w:val="24"/>
          <w:lang w:val="es-CR"/>
        </w:rPr>
        <w:t xml:space="preserve"> número </w:t>
      </w:r>
      <w:proofErr w:type="spellStart"/>
      <w:r w:rsidR="004A4753">
        <w:rPr>
          <w:sz w:val="24"/>
          <w:szCs w:val="24"/>
          <w:lang w:val="es-CR"/>
        </w:rPr>
        <w:t>XXXX</w:t>
      </w:r>
      <w:proofErr w:type="spellEnd"/>
      <w:r w:rsidR="00E13C1A" w:rsidRPr="00BF2F77">
        <w:rPr>
          <w:sz w:val="24"/>
          <w:szCs w:val="24"/>
          <w:lang w:val="es-CR"/>
        </w:rPr>
        <w:t xml:space="preserve"> no respondieron después de efectuados los cinco intentos para la notificación por medio electrónico.  El señor </w:t>
      </w:r>
      <w:proofErr w:type="spellStart"/>
      <w:r w:rsidR="00E13C1A" w:rsidRPr="00BF2F77">
        <w:rPr>
          <w:b/>
          <w:smallCaps/>
          <w:sz w:val="24"/>
          <w:szCs w:val="24"/>
          <w:lang w:val="es-CR"/>
        </w:rPr>
        <w:t>S</w:t>
      </w:r>
      <w:r w:rsidR="004A4753">
        <w:rPr>
          <w:b/>
          <w:smallCaps/>
          <w:sz w:val="24"/>
          <w:szCs w:val="24"/>
          <w:lang w:val="es-CR"/>
        </w:rPr>
        <w:t>LLC</w:t>
      </w:r>
      <w:proofErr w:type="spellEnd"/>
      <w:r w:rsidR="00E13C1A" w:rsidRPr="00BF2F77">
        <w:rPr>
          <w:sz w:val="24"/>
          <w:szCs w:val="24"/>
          <w:lang w:val="es-CR"/>
        </w:rPr>
        <w:t xml:space="preserve">, interpone el </w:t>
      </w:r>
      <w:r w:rsidR="00E13C1A" w:rsidRPr="00BF2F77">
        <w:rPr>
          <w:b/>
          <w:sz w:val="24"/>
          <w:szCs w:val="24"/>
          <w:lang w:val="es-CR"/>
        </w:rPr>
        <w:t>6</w:t>
      </w:r>
      <w:r w:rsidR="00F83EF0" w:rsidRPr="00BF2F77">
        <w:rPr>
          <w:b/>
          <w:sz w:val="24"/>
          <w:szCs w:val="24"/>
          <w:lang w:val="es-CR"/>
        </w:rPr>
        <w:t xml:space="preserve"> de </w:t>
      </w:r>
      <w:r w:rsidR="00E13C1A" w:rsidRPr="00BF2F77">
        <w:rPr>
          <w:b/>
          <w:sz w:val="24"/>
          <w:szCs w:val="24"/>
          <w:lang w:val="es-CR"/>
        </w:rPr>
        <w:t>octubre</w:t>
      </w:r>
      <w:r w:rsidRPr="00BF2F77">
        <w:rPr>
          <w:b/>
          <w:sz w:val="24"/>
          <w:szCs w:val="24"/>
          <w:lang w:val="es-CR"/>
        </w:rPr>
        <w:t xml:space="preserve"> del 201</w:t>
      </w:r>
      <w:r w:rsidR="00F83EF0" w:rsidRPr="00BF2F77">
        <w:rPr>
          <w:b/>
          <w:sz w:val="24"/>
          <w:szCs w:val="24"/>
          <w:lang w:val="es-CR"/>
        </w:rPr>
        <w:t>5</w:t>
      </w:r>
      <w:r w:rsidRPr="00BF2F77">
        <w:rPr>
          <w:sz w:val="24"/>
          <w:szCs w:val="24"/>
          <w:lang w:val="es-CR"/>
        </w:rPr>
        <w:t xml:space="preserve">, </w:t>
      </w:r>
      <w:r w:rsidRPr="00BF2F77">
        <w:rPr>
          <w:smallCaps/>
          <w:sz w:val="24"/>
          <w:szCs w:val="24"/>
          <w:lang w:val="es-CR"/>
        </w:rPr>
        <w:t>Recurso de revocatoria con apelación en subsidio</w:t>
      </w:r>
      <w:r w:rsidR="00B010E1" w:rsidRPr="00BF2F77">
        <w:rPr>
          <w:smallCaps/>
          <w:sz w:val="24"/>
          <w:szCs w:val="24"/>
          <w:lang w:val="es-CR"/>
        </w:rPr>
        <w:t xml:space="preserve"> y nulidad absoluta concomitante</w:t>
      </w:r>
      <w:r w:rsidRPr="00BF2F77">
        <w:rPr>
          <w:smallCaps/>
          <w:sz w:val="24"/>
          <w:szCs w:val="24"/>
          <w:lang w:val="es-CR"/>
        </w:rPr>
        <w:t>,</w:t>
      </w:r>
      <w:r w:rsidRPr="00BF2F77">
        <w:rPr>
          <w:sz w:val="24"/>
          <w:szCs w:val="24"/>
          <w:lang w:val="es-CR"/>
        </w:rPr>
        <w:t xml:space="preserve"> ante lo cual </w:t>
      </w:r>
      <w:r w:rsidR="00BF2F77">
        <w:rPr>
          <w:sz w:val="24"/>
          <w:szCs w:val="24"/>
          <w:lang w:val="es-CR"/>
        </w:rPr>
        <w:t xml:space="preserve">el Consejo de Transporte Público, determinó que el Recurso de revocatoria y su nulidad, </w:t>
      </w:r>
      <w:r w:rsidRPr="00BF2F77">
        <w:rPr>
          <w:sz w:val="24"/>
          <w:szCs w:val="24"/>
          <w:lang w:val="es-CR"/>
        </w:rPr>
        <w:t xml:space="preserve">fueron interpuestas en </w:t>
      </w:r>
      <w:r w:rsidR="00E13C1A" w:rsidRPr="00BF2F77">
        <w:rPr>
          <w:sz w:val="24"/>
          <w:szCs w:val="24"/>
          <w:lang w:val="es-CR"/>
        </w:rPr>
        <w:lastRenderedPageBreak/>
        <w:t>forma extemporánea</w:t>
      </w:r>
      <w:r w:rsidR="00BF2F77">
        <w:rPr>
          <w:sz w:val="24"/>
          <w:szCs w:val="24"/>
          <w:lang w:val="es-CR"/>
        </w:rPr>
        <w:t>.</w:t>
      </w:r>
    </w:p>
    <w:p w:rsidR="00BF2F77" w:rsidRPr="00860753" w:rsidRDefault="00BF2F77" w:rsidP="00BF2F77">
      <w:pPr>
        <w:pStyle w:val="Style9"/>
        <w:tabs>
          <w:tab w:val="left" w:pos="426"/>
        </w:tabs>
        <w:kinsoku w:val="0"/>
        <w:autoSpaceDE/>
        <w:autoSpaceDN/>
        <w:spacing w:before="0" w:line="276" w:lineRule="auto"/>
        <w:ind w:left="0" w:right="0"/>
        <w:rPr>
          <w:sz w:val="24"/>
          <w:szCs w:val="24"/>
          <w:lang w:val="es-CR"/>
        </w:rPr>
      </w:pPr>
    </w:p>
    <w:p w:rsidR="00BF2F77" w:rsidRPr="00860753" w:rsidRDefault="00BF2F77" w:rsidP="00BF2F77">
      <w:pPr>
        <w:pStyle w:val="Style9"/>
        <w:tabs>
          <w:tab w:val="left" w:pos="426"/>
        </w:tabs>
        <w:kinsoku w:val="0"/>
        <w:autoSpaceDE/>
        <w:autoSpaceDN/>
        <w:spacing w:before="0" w:line="276" w:lineRule="auto"/>
        <w:ind w:left="0" w:right="0"/>
        <w:rPr>
          <w:sz w:val="24"/>
          <w:szCs w:val="24"/>
          <w:lang w:val="es-CR"/>
        </w:rPr>
      </w:pPr>
      <w:r w:rsidRPr="00860753">
        <w:rPr>
          <w:sz w:val="24"/>
          <w:szCs w:val="24"/>
          <w:lang w:val="es-CR"/>
        </w:rPr>
        <w:t xml:space="preserve">En cuanto a la notificación de los actos tendientes a caducar una concesión administrativa de servicio público modalidad Taxi, </w:t>
      </w:r>
      <w:r w:rsidR="005B6C4F" w:rsidRPr="00860753">
        <w:rPr>
          <w:sz w:val="24"/>
          <w:szCs w:val="24"/>
          <w:lang w:val="es-CR"/>
        </w:rPr>
        <w:t xml:space="preserve">el Tribunal Contencioso Administrativo y Civil de Hacienda, Sección Sexta, en la Sentencia N. 474-2010, de las 15:00 </w:t>
      </w:r>
      <w:proofErr w:type="spellStart"/>
      <w:r w:rsidR="005B6C4F" w:rsidRPr="00860753">
        <w:rPr>
          <w:sz w:val="24"/>
          <w:szCs w:val="24"/>
          <w:lang w:val="es-CR"/>
        </w:rPr>
        <w:t>Hrs</w:t>
      </w:r>
      <w:proofErr w:type="spellEnd"/>
      <w:r w:rsidR="005B6C4F" w:rsidRPr="00860753">
        <w:rPr>
          <w:sz w:val="24"/>
          <w:szCs w:val="24"/>
          <w:lang w:val="es-CR"/>
        </w:rPr>
        <w:t>., del 12 de febrero del 2010, estableció, que el medio señalado en el contrato de concesión admi</w:t>
      </w:r>
      <w:r w:rsidR="0085340E" w:rsidRPr="00860753">
        <w:rPr>
          <w:sz w:val="24"/>
          <w:szCs w:val="24"/>
          <w:lang w:val="es-CR"/>
        </w:rPr>
        <w:t>nistrativa</w:t>
      </w:r>
      <w:r w:rsidR="005B6C4F" w:rsidRPr="00860753">
        <w:rPr>
          <w:sz w:val="24"/>
          <w:szCs w:val="24"/>
          <w:lang w:val="es-CR"/>
        </w:rPr>
        <w:t xml:space="preserve"> de taxi, es el medio oficial para </w:t>
      </w:r>
      <w:r w:rsidR="0085340E" w:rsidRPr="00860753">
        <w:rPr>
          <w:sz w:val="24"/>
          <w:szCs w:val="24"/>
          <w:lang w:val="es-CR"/>
        </w:rPr>
        <w:t>notificar</w:t>
      </w:r>
      <w:r w:rsidR="005B6C4F" w:rsidRPr="00860753">
        <w:rPr>
          <w:sz w:val="24"/>
          <w:szCs w:val="24"/>
          <w:lang w:val="es-CR"/>
        </w:rPr>
        <w:t xml:space="preserve"> el procedi</w:t>
      </w:r>
      <w:r w:rsidR="0085340E" w:rsidRPr="00860753">
        <w:rPr>
          <w:sz w:val="24"/>
          <w:szCs w:val="24"/>
          <w:lang w:val="es-CR"/>
        </w:rPr>
        <w:t>miento</w:t>
      </w:r>
      <w:r w:rsidR="005B6C4F" w:rsidRPr="00860753">
        <w:rPr>
          <w:sz w:val="24"/>
          <w:szCs w:val="24"/>
          <w:lang w:val="es-CR"/>
        </w:rPr>
        <w:t xml:space="preserve"> </w:t>
      </w:r>
      <w:r w:rsidR="0085340E" w:rsidRPr="00860753">
        <w:rPr>
          <w:sz w:val="24"/>
          <w:szCs w:val="24"/>
          <w:lang w:val="es-CR"/>
        </w:rPr>
        <w:t>administrativo</w:t>
      </w:r>
      <w:r w:rsidR="005B6C4F" w:rsidRPr="00860753">
        <w:rPr>
          <w:sz w:val="24"/>
          <w:szCs w:val="24"/>
          <w:lang w:val="es-CR"/>
        </w:rPr>
        <w:t xml:space="preserve"> </w:t>
      </w:r>
      <w:r w:rsidR="0085340E" w:rsidRPr="00860753">
        <w:rPr>
          <w:sz w:val="24"/>
          <w:szCs w:val="24"/>
          <w:lang w:val="es-CR"/>
        </w:rPr>
        <w:t>ordinario</w:t>
      </w:r>
      <w:r w:rsidRPr="00860753">
        <w:rPr>
          <w:sz w:val="24"/>
          <w:szCs w:val="24"/>
          <w:lang w:val="es-CR"/>
        </w:rPr>
        <w:t>, en los siguientes términos:</w:t>
      </w:r>
    </w:p>
    <w:p w:rsidR="00BF2F77" w:rsidRDefault="00BF2F77" w:rsidP="00BF2F77">
      <w:pPr>
        <w:pStyle w:val="Style9"/>
        <w:tabs>
          <w:tab w:val="left" w:pos="426"/>
        </w:tabs>
        <w:kinsoku w:val="0"/>
        <w:autoSpaceDE/>
        <w:autoSpaceDN/>
        <w:spacing w:before="0" w:line="276" w:lineRule="auto"/>
        <w:ind w:left="0" w:right="0"/>
        <w:rPr>
          <w:sz w:val="24"/>
          <w:szCs w:val="24"/>
          <w:lang w:val="es-CR"/>
        </w:rPr>
      </w:pPr>
    </w:p>
    <w:p w:rsidR="00AB28D9" w:rsidRPr="00CE38FC" w:rsidRDefault="00CE38FC" w:rsidP="00CE38FC">
      <w:pPr>
        <w:pStyle w:val="Style9"/>
        <w:tabs>
          <w:tab w:val="left" w:pos="426"/>
        </w:tabs>
        <w:kinsoku w:val="0"/>
        <w:autoSpaceDE/>
        <w:autoSpaceDN/>
        <w:spacing w:before="0"/>
        <w:ind w:right="851"/>
        <w:rPr>
          <w:rFonts w:eastAsia="Times New Roman"/>
          <w:color w:val="000000"/>
          <w:sz w:val="20"/>
          <w:szCs w:val="20"/>
          <w:lang w:val="es-ES"/>
        </w:rPr>
      </w:pPr>
      <w:r w:rsidRPr="00CE38FC">
        <w:rPr>
          <w:rFonts w:eastAsia="Times New Roman"/>
          <w:color w:val="000000"/>
          <w:sz w:val="20"/>
          <w:szCs w:val="20"/>
          <w:lang w:val="es-ES"/>
        </w:rPr>
        <w:t>“</w:t>
      </w:r>
      <w:r w:rsidR="00AB28D9" w:rsidRPr="00CE38FC">
        <w:rPr>
          <w:rFonts w:eastAsia="Times New Roman"/>
          <w:b/>
          <w:color w:val="000000"/>
          <w:sz w:val="20"/>
          <w:szCs w:val="20"/>
          <w:lang w:val="es-ES"/>
        </w:rPr>
        <w:t xml:space="preserve">VIII.- Del caso concreto. </w:t>
      </w:r>
      <w:r w:rsidR="00AB28D9" w:rsidRPr="00CE38FC">
        <w:rPr>
          <w:rFonts w:eastAsia="Times New Roman"/>
          <w:color w:val="000000"/>
          <w:sz w:val="20"/>
          <w:szCs w:val="20"/>
          <w:lang w:val="es-ES"/>
        </w:rPr>
        <w:t xml:space="preserve">Visto el cuadro fáctico tenido por demostrado, precisado el marco jurídico aplicable al régimen de las notificaciones administrativas y revisados cuidadosamente tanto los autos como el soporte de video de la audiencia preliminar, este Tribunal entiende necesario hacer las siguientes consideraciones en atención a las alegaciones ofrecidas por ambas partes. En primer término estima este colegio que llevan razón tanto la representación del Estado como la del Consejo de Transporte Público, en cuanto a que en el contrato de concesión suscrito entre el aquí actor y la administración demandada se indica un medio y un lugar para notificaciones, los cuales, en atención a las reglas aplicables en esta materia eran los únicos canales válidos a disposición de los órganos del Consejo de Transporte Público, para comunicarse con el señor Campos </w:t>
      </w:r>
      <w:proofErr w:type="spellStart"/>
      <w:r w:rsidR="00AB28D9" w:rsidRPr="00CE38FC">
        <w:rPr>
          <w:rFonts w:eastAsia="Times New Roman"/>
          <w:color w:val="000000"/>
          <w:sz w:val="20"/>
          <w:szCs w:val="20"/>
          <w:lang w:val="es-ES"/>
        </w:rPr>
        <w:t>Cartín</w:t>
      </w:r>
      <w:proofErr w:type="spellEnd"/>
      <w:r w:rsidR="00AB28D9" w:rsidRPr="00CE38FC">
        <w:rPr>
          <w:rFonts w:eastAsia="Times New Roman"/>
          <w:color w:val="000000"/>
          <w:sz w:val="20"/>
          <w:szCs w:val="20"/>
          <w:lang w:val="es-ES"/>
        </w:rPr>
        <w:t xml:space="preserve">, aún más, si esta administración hubiera utilizado como medio para notificar la apertura del procedimiento administrativo la dirección de su casa de habitación que se indicaba en el encabezado, dicha actuación hubiese implicado una desatención directa a lo acordado por ambas partes en la cláusula XIV del contrato de concesión, y a su vez, una vulneración flagrante del canon 247 de la Ley General de la Administración Pública y del artículo 28 del Reglamento a la Ley de Protección al Ciudadano contra el Exceso de Trámites y Requisitos Administrativos. Aquí es menester indicar que también lleva razón la representante del Consejo de Transporte Público, en cuanto a que en la cláusula recién citada, amén de indicarse con meridiana claridad un medio y un lugar para notificaciones, la parte actora asumía, en condición de carga procesal, el deber de mantener actualizada a la administración, respecto de un lugar o un medio para comunicarle de las incidencias derivadas de la relación jurídico administrativa que vinculaba a las partes en este proceso. En razón de lo anterior, no comparte este Tribunal el alegato esgrimido por la representación de la parte actora, en cuanto a que el lugar para notificaciones a que se refiere el contrato, lo era únicamente para faltas menores. Note esa representación </w:t>
      </w:r>
      <w:proofErr w:type="gramStart"/>
      <w:r w:rsidR="00AB28D9" w:rsidRPr="00CE38FC">
        <w:rPr>
          <w:rFonts w:eastAsia="Times New Roman"/>
          <w:color w:val="000000"/>
          <w:sz w:val="20"/>
          <w:szCs w:val="20"/>
          <w:lang w:val="es-ES"/>
        </w:rPr>
        <w:t>que</w:t>
      </w:r>
      <w:proofErr w:type="gramEnd"/>
      <w:r w:rsidR="00AB28D9" w:rsidRPr="00CE38FC">
        <w:rPr>
          <w:rFonts w:eastAsia="Times New Roman"/>
          <w:color w:val="000000"/>
          <w:sz w:val="20"/>
          <w:szCs w:val="20"/>
          <w:lang w:val="es-ES"/>
        </w:rPr>
        <w:t xml:space="preserve"> a partir del texto expreso de la cláusula, la finalidad de ese acápite contractual, lo es la comunicación de aspectos como el que precisamente la administración procuró notificarle, a saber, el inicio de un procedimiento administrativo tendente a la declaración, entre otras cosas, de la caducidad de su concesión de placa de taxi. (…)”</w:t>
      </w:r>
    </w:p>
    <w:p w:rsidR="00860753" w:rsidRDefault="00860753" w:rsidP="00CE38FC">
      <w:pPr>
        <w:pStyle w:val="Style9"/>
        <w:tabs>
          <w:tab w:val="left" w:pos="426"/>
        </w:tabs>
        <w:kinsoku w:val="0"/>
        <w:autoSpaceDE/>
        <w:autoSpaceDN/>
        <w:spacing w:before="0" w:line="276" w:lineRule="auto"/>
        <w:ind w:left="0" w:right="0"/>
        <w:rPr>
          <w:rFonts w:eastAsia="Times New Roman"/>
          <w:color w:val="000000"/>
          <w:sz w:val="24"/>
          <w:szCs w:val="24"/>
          <w:lang w:val="es-ES"/>
        </w:rPr>
      </w:pPr>
    </w:p>
    <w:p w:rsidR="00860753" w:rsidRDefault="00860753" w:rsidP="00CE38FC">
      <w:pPr>
        <w:pStyle w:val="Style9"/>
        <w:tabs>
          <w:tab w:val="left" w:pos="426"/>
        </w:tabs>
        <w:kinsoku w:val="0"/>
        <w:autoSpaceDE/>
        <w:autoSpaceDN/>
        <w:spacing w:before="0" w:line="276" w:lineRule="auto"/>
        <w:ind w:left="0" w:right="0"/>
        <w:rPr>
          <w:rFonts w:eastAsia="Times New Roman"/>
          <w:color w:val="000000"/>
          <w:sz w:val="24"/>
          <w:szCs w:val="24"/>
          <w:lang w:val="es-ES"/>
        </w:rPr>
      </w:pPr>
    </w:p>
    <w:p w:rsidR="00CE38FC" w:rsidRDefault="00CE38FC" w:rsidP="00CE38FC">
      <w:pPr>
        <w:pStyle w:val="Style9"/>
        <w:tabs>
          <w:tab w:val="left" w:pos="426"/>
        </w:tabs>
        <w:kinsoku w:val="0"/>
        <w:autoSpaceDE/>
        <w:autoSpaceDN/>
        <w:spacing w:before="0" w:line="276" w:lineRule="auto"/>
        <w:ind w:left="0" w:right="0"/>
        <w:rPr>
          <w:rFonts w:eastAsia="Times New Roman"/>
          <w:color w:val="000000"/>
          <w:sz w:val="24"/>
          <w:szCs w:val="24"/>
          <w:lang w:val="es-ES"/>
        </w:rPr>
      </w:pPr>
      <w:r w:rsidRPr="00CE38FC">
        <w:rPr>
          <w:rFonts w:eastAsia="Times New Roman"/>
          <w:color w:val="000000"/>
          <w:sz w:val="24"/>
          <w:szCs w:val="24"/>
          <w:lang w:val="es-ES"/>
        </w:rPr>
        <w:t>Se observa de la jurisprudencia citada, que el medio y lugar para notificaciones, establecido en el contrato</w:t>
      </w:r>
      <w:r>
        <w:rPr>
          <w:rFonts w:eastAsia="Times New Roman"/>
          <w:color w:val="000000"/>
          <w:sz w:val="24"/>
          <w:szCs w:val="24"/>
          <w:lang w:val="es-ES"/>
        </w:rPr>
        <w:t>, es el válido para cualquier comunicación entre las partes contractuales.</w:t>
      </w:r>
    </w:p>
    <w:p w:rsidR="00CE38FC" w:rsidRDefault="00CE38FC" w:rsidP="00CE38FC">
      <w:pPr>
        <w:pStyle w:val="Style9"/>
        <w:tabs>
          <w:tab w:val="left" w:pos="426"/>
        </w:tabs>
        <w:kinsoku w:val="0"/>
        <w:autoSpaceDE/>
        <w:autoSpaceDN/>
        <w:spacing w:before="0" w:line="276" w:lineRule="auto"/>
        <w:ind w:left="0" w:right="0"/>
        <w:rPr>
          <w:rFonts w:eastAsia="Times New Roman"/>
          <w:color w:val="000000"/>
          <w:sz w:val="24"/>
          <w:szCs w:val="24"/>
          <w:lang w:val="es-ES"/>
        </w:rPr>
      </w:pPr>
    </w:p>
    <w:p w:rsidR="00AB28D9" w:rsidRPr="00CE38FC" w:rsidRDefault="00CE38FC" w:rsidP="00CE38FC">
      <w:pPr>
        <w:pStyle w:val="Style9"/>
        <w:tabs>
          <w:tab w:val="left" w:pos="426"/>
        </w:tabs>
        <w:kinsoku w:val="0"/>
        <w:autoSpaceDE/>
        <w:autoSpaceDN/>
        <w:spacing w:before="0" w:line="276" w:lineRule="auto"/>
        <w:ind w:left="0" w:right="0"/>
        <w:rPr>
          <w:rFonts w:eastAsia="Times New Roman"/>
          <w:color w:val="000000"/>
          <w:sz w:val="24"/>
          <w:szCs w:val="24"/>
          <w:lang w:val="es-ES"/>
        </w:rPr>
      </w:pPr>
      <w:r>
        <w:rPr>
          <w:rFonts w:eastAsia="Times New Roman"/>
          <w:color w:val="000000"/>
          <w:sz w:val="24"/>
          <w:szCs w:val="24"/>
          <w:lang w:val="es-ES"/>
        </w:rPr>
        <w:t>Ahora bien, el Tribunal Contencioso en la resolución antes transc</w:t>
      </w:r>
      <w:bookmarkStart w:id="0" w:name="_GoBack"/>
      <w:bookmarkEnd w:id="0"/>
      <w:r>
        <w:rPr>
          <w:rFonts w:eastAsia="Times New Roman"/>
          <w:color w:val="000000"/>
          <w:sz w:val="24"/>
          <w:szCs w:val="24"/>
          <w:lang w:val="es-ES"/>
        </w:rPr>
        <w:t xml:space="preserve">rita, refiere también al voto 9835-2009 de la Sala Constitucional, que en materia de notificaciones ya había establecido que la Administración debe intentar notificar al concesionario, en el </w:t>
      </w:r>
      <w:proofErr w:type="spellStart"/>
      <w:r>
        <w:rPr>
          <w:rFonts w:eastAsia="Times New Roman"/>
          <w:color w:val="000000"/>
          <w:sz w:val="24"/>
          <w:szCs w:val="24"/>
          <w:lang w:val="es-ES"/>
        </w:rPr>
        <w:t>luga</w:t>
      </w:r>
      <w:proofErr w:type="spellEnd"/>
      <w:r>
        <w:rPr>
          <w:rFonts w:eastAsia="Times New Roman"/>
          <w:color w:val="000000"/>
          <w:sz w:val="24"/>
          <w:szCs w:val="24"/>
          <w:lang w:val="es-ES"/>
        </w:rPr>
        <w:t xml:space="preserve"> o medio señalado en el contrato.</w:t>
      </w:r>
      <w:r w:rsidRPr="00CE38FC">
        <w:rPr>
          <w:rFonts w:eastAsia="Times New Roman"/>
          <w:color w:val="000000"/>
          <w:sz w:val="24"/>
          <w:szCs w:val="24"/>
          <w:lang w:val="es-ES"/>
        </w:rPr>
        <w:t xml:space="preserve"> </w:t>
      </w:r>
    </w:p>
    <w:p w:rsidR="00AB28D9" w:rsidRDefault="00AB28D9" w:rsidP="00AB28D9">
      <w:pPr>
        <w:pStyle w:val="Style9"/>
        <w:tabs>
          <w:tab w:val="left" w:pos="426"/>
        </w:tabs>
        <w:kinsoku w:val="0"/>
        <w:autoSpaceDE/>
        <w:autoSpaceDN/>
        <w:spacing w:before="0" w:line="276" w:lineRule="auto"/>
        <w:ind w:left="0" w:right="0"/>
        <w:rPr>
          <w:rFonts w:ascii="Arial" w:eastAsia="Times New Roman" w:hAnsi="Arial" w:cs="Arial"/>
          <w:color w:val="000000"/>
          <w:szCs w:val="20"/>
          <w:lang w:val="es-ES"/>
        </w:rPr>
      </w:pPr>
    </w:p>
    <w:p w:rsidR="00BF2F77" w:rsidRPr="001115F4" w:rsidRDefault="00CE38FC" w:rsidP="005E0386">
      <w:pPr>
        <w:pStyle w:val="Style9"/>
        <w:tabs>
          <w:tab w:val="left" w:pos="426"/>
        </w:tabs>
        <w:kinsoku w:val="0"/>
        <w:autoSpaceDE/>
        <w:autoSpaceDN/>
        <w:spacing w:before="0"/>
        <w:ind w:right="851"/>
        <w:rPr>
          <w:sz w:val="20"/>
          <w:szCs w:val="20"/>
          <w:lang w:val="es-CR"/>
        </w:rPr>
      </w:pPr>
      <w:r w:rsidRPr="001115F4">
        <w:rPr>
          <w:rFonts w:eastAsia="Times New Roman"/>
          <w:color w:val="000000"/>
          <w:sz w:val="20"/>
          <w:szCs w:val="20"/>
          <w:lang w:val="es-ES"/>
        </w:rPr>
        <w:lastRenderedPageBreak/>
        <w:t xml:space="preserve">“(…) </w:t>
      </w:r>
      <w:r w:rsidR="00AB28D9" w:rsidRPr="001115F4">
        <w:rPr>
          <w:rFonts w:eastAsia="Times New Roman"/>
          <w:color w:val="000000"/>
          <w:sz w:val="20"/>
          <w:szCs w:val="20"/>
          <w:lang w:val="es-ES"/>
        </w:rPr>
        <w:t xml:space="preserve"> En la misma línea, cabe destacar que tampoco existió en el </w:t>
      </w:r>
      <w:r w:rsidR="00AB28D9" w:rsidRPr="001115F4">
        <w:rPr>
          <w:rFonts w:eastAsia="Times New Roman"/>
          <w:i/>
          <w:iCs/>
          <w:color w:val="000000"/>
          <w:sz w:val="20"/>
          <w:szCs w:val="20"/>
          <w:lang w:val="es-ES"/>
        </w:rPr>
        <w:t>sub lite</w:t>
      </w:r>
      <w:r w:rsidR="00AB28D9" w:rsidRPr="001115F4">
        <w:rPr>
          <w:rFonts w:eastAsia="Times New Roman"/>
          <w:color w:val="000000"/>
          <w:sz w:val="20"/>
          <w:szCs w:val="20"/>
          <w:lang w:val="es-ES"/>
        </w:rPr>
        <w:t xml:space="preserve"> una omisión ilegítima o contraria al Bloque de Legalidad por parte de la administración demandada, al omitir ésta el efectuar una publicación, ello por cuanto no se ignoraba el lugar o medio para notificar al actor, ni se estaba ante un lugar o medio equivocado, sino que únicamente se configuró una situación en la que el actor había estimado prudente ofrecer como medio y lugar para recibir comunicaciones a un tercero, quien al momento del inicio del procedimiento administrativo, no atendió los intentos de la administración por efectuar la comunicación, situación que es intrínseca a la relación que vinculó al actor con ese tercero, pero que no es responsabilidad de la administración demandada. Así las cosas, resulta evidente que la apuntada omisión -de hacer una publicación-, en lo absoluto implicó un quebranto de la vertiente positiva del Principio de Legalidad, pues más bien se está simplemente ante una manifestación de la vertiente negativa de ese mismo principio. A mayor abundamiento, nótese </w:t>
      </w:r>
      <w:proofErr w:type="gramStart"/>
      <w:r w:rsidR="00AB28D9" w:rsidRPr="001115F4">
        <w:rPr>
          <w:rFonts w:eastAsia="Times New Roman"/>
          <w:color w:val="000000"/>
          <w:sz w:val="20"/>
          <w:szCs w:val="20"/>
          <w:lang w:val="es-ES"/>
        </w:rPr>
        <w:t>que</w:t>
      </w:r>
      <w:proofErr w:type="gramEnd"/>
      <w:r w:rsidR="00AB28D9" w:rsidRPr="001115F4">
        <w:rPr>
          <w:rFonts w:eastAsia="Times New Roman"/>
          <w:color w:val="000000"/>
          <w:sz w:val="20"/>
          <w:szCs w:val="20"/>
          <w:lang w:val="es-ES"/>
        </w:rPr>
        <w:t xml:space="preserve"> al abordar temas como el presente, la Sala Constitucional de la Corte Suprema de Justicia ha señalado: </w:t>
      </w:r>
      <w:r w:rsidR="00AB28D9" w:rsidRPr="001115F4">
        <w:rPr>
          <w:rFonts w:eastAsia="Times New Roman"/>
          <w:i/>
          <w:iCs/>
          <w:color w:val="000000"/>
          <w:sz w:val="20"/>
          <w:szCs w:val="20"/>
          <w:lang w:val="es-ES"/>
        </w:rPr>
        <w:t xml:space="preserve">"IV.- El caso concreto. La notificación del procedimiento administrativo de caducidad de la concesión. </w:t>
      </w:r>
      <w:r w:rsidRPr="001115F4">
        <w:rPr>
          <w:rFonts w:eastAsia="Times New Roman"/>
          <w:i/>
          <w:iCs/>
          <w:color w:val="000000"/>
          <w:sz w:val="20"/>
          <w:szCs w:val="20"/>
          <w:lang w:val="es-ES"/>
        </w:rPr>
        <w:t>(…)</w:t>
      </w:r>
      <w:r w:rsidR="00AB28D9" w:rsidRPr="001115F4">
        <w:rPr>
          <w:rFonts w:eastAsia="Times New Roman"/>
          <w:i/>
          <w:iCs/>
          <w:color w:val="000000"/>
          <w:sz w:val="20"/>
          <w:szCs w:val="20"/>
          <w:lang w:val="es-ES"/>
        </w:rPr>
        <w:t xml:space="preserve"> Efectivamente, el dieciséis de junio de dos mil cuatro se formalizó por el amparado el contrato de concesión de taxi placa No. </w:t>
      </w:r>
      <w:proofErr w:type="spellStart"/>
      <w:r w:rsidR="00AB28D9" w:rsidRPr="001115F4">
        <w:rPr>
          <w:rFonts w:eastAsia="Times New Roman"/>
          <w:i/>
          <w:iCs/>
          <w:color w:val="000000"/>
          <w:sz w:val="20"/>
          <w:szCs w:val="20"/>
          <w:lang w:val="es-ES"/>
        </w:rPr>
        <w:t>TSJ</w:t>
      </w:r>
      <w:proofErr w:type="spellEnd"/>
      <w:r w:rsidR="00AB28D9" w:rsidRPr="001115F4">
        <w:rPr>
          <w:rFonts w:eastAsia="Times New Roman"/>
          <w:i/>
          <w:iCs/>
          <w:color w:val="000000"/>
          <w:sz w:val="20"/>
          <w:szCs w:val="20"/>
          <w:lang w:val="es-ES"/>
        </w:rPr>
        <w:t xml:space="preserve">-4364. Sin embargo, el Consejo de Transporte Público dispuso iniciar un procedimiento administrativo en contra del amparado, debido a la sospecha existente de que no se estaba prestando de manera personal la concesión otorgada, lo cual resulta un requisito indispensable para la operación de la concesión otorgada. El inicio de ese procedimiento administrativo se ordenó mediante acuerdo del Consejo de Transporte Público </w:t>
      </w:r>
      <w:r w:rsidRPr="001115F4">
        <w:rPr>
          <w:rFonts w:eastAsia="Times New Roman"/>
          <w:i/>
          <w:iCs/>
          <w:color w:val="000000"/>
          <w:sz w:val="20"/>
          <w:szCs w:val="20"/>
          <w:lang w:val="es-ES"/>
        </w:rPr>
        <w:t xml:space="preserve">(…) </w:t>
      </w:r>
      <w:r w:rsidR="00AB28D9" w:rsidRPr="001115F4">
        <w:rPr>
          <w:rFonts w:eastAsia="Times New Roman"/>
          <w:i/>
          <w:iCs/>
          <w:color w:val="000000"/>
          <w:sz w:val="20"/>
          <w:szCs w:val="20"/>
          <w:lang w:val="es-ES"/>
        </w:rPr>
        <w:t xml:space="preserve">para, posteriormente, dictar auto de apertura del procedimiento mediante oficio </w:t>
      </w:r>
      <w:proofErr w:type="spellStart"/>
      <w:r w:rsidR="00AB28D9" w:rsidRPr="001115F4">
        <w:rPr>
          <w:rFonts w:eastAsia="Times New Roman"/>
          <w:i/>
          <w:iCs/>
          <w:color w:val="000000"/>
          <w:sz w:val="20"/>
          <w:szCs w:val="20"/>
          <w:lang w:val="es-ES"/>
        </w:rPr>
        <w:t>DAJ</w:t>
      </w:r>
      <w:proofErr w:type="spellEnd"/>
      <w:r w:rsidR="00AB28D9" w:rsidRPr="001115F4">
        <w:rPr>
          <w:rFonts w:eastAsia="Times New Roman"/>
          <w:i/>
          <w:iCs/>
          <w:color w:val="000000"/>
          <w:sz w:val="20"/>
          <w:szCs w:val="20"/>
          <w:lang w:val="es-ES"/>
        </w:rPr>
        <w:t xml:space="preserve">-061595 del primero de junio del dos mil seis. En este punto es necesario aclarar que según la prueba que corre en el expediente, al momento de suscribir el contrato de concesión, el amparado comunicó varios medios de notificación a efecto de ser localizado, entre los cuales brindó diferentes números de teléfono y un número de fax. </w:t>
      </w:r>
      <w:r w:rsidR="00AB28D9" w:rsidRPr="001115F4">
        <w:rPr>
          <w:rFonts w:eastAsia="Times New Roman"/>
          <w:i/>
          <w:iCs/>
          <w:color w:val="000000"/>
          <w:sz w:val="20"/>
          <w:szCs w:val="20"/>
          <w:u w:val="single"/>
          <w:lang w:val="es-ES"/>
        </w:rPr>
        <w:t>De acuerdo a lo analizado en el expediente, las autoridades recurridas intentaron notificar el citado auto de apertura del procedimiento al amparado; sin embargo, por diversas circunstancias no se logró comunicar al tutelado dicha resolución –por ejemplo, en los números aportados se indicó que no conocían al amparado, además que con la única persona que pudieron contactar fue con una supuesta hermana del recurrente-, razón por la cual las autoridades recurridas dejaron constancia de las razones por las cuales no había sido posible realizar las notificaciones</w:t>
      </w:r>
      <w:r w:rsidR="00AB28D9" w:rsidRPr="001115F4">
        <w:rPr>
          <w:rFonts w:eastAsia="Times New Roman"/>
          <w:i/>
          <w:iCs/>
          <w:color w:val="000000"/>
          <w:sz w:val="20"/>
          <w:szCs w:val="20"/>
          <w:lang w:val="es-ES"/>
        </w:rPr>
        <w:t xml:space="preserve"> (ver folios 87, 88, y 90 del expediente), al punto que a folio 90 </w:t>
      </w:r>
      <w:r w:rsidR="00AB28D9" w:rsidRPr="001115F4">
        <w:rPr>
          <w:rFonts w:eastAsia="Times New Roman"/>
          <w:i/>
          <w:iCs/>
          <w:color w:val="000000"/>
          <w:sz w:val="20"/>
          <w:szCs w:val="20"/>
          <w:u w:val="single"/>
          <w:lang w:val="es-ES"/>
        </w:rPr>
        <w:t>se observa una constancia de notificación automática dentro del procedimiento administrativo, en la que se explica que en virtud de que la Dirección Jurídica del Consejo había agotado los medios de notificación informados por el propio concesionario, se debían tener por notificadas automáticamente las resoluciones que se emitieran en adelante durante el procedimiento administrativo, todo de conformidad con lo dispuesto en la Ley General de la Administración Pública, la Ley de Notificaciones y Citaciones de los Despachos Judiciales, y la propia manifestación de voluntad brindada por el tutelado en la oferta y en la formalización del contrato de prestación de servicios.</w:t>
      </w:r>
      <w:r w:rsidR="00AB28D9" w:rsidRPr="001115F4">
        <w:rPr>
          <w:rFonts w:eastAsia="Times New Roman"/>
          <w:i/>
          <w:iCs/>
          <w:color w:val="000000"/>
          <w:sz w:val="20"/>
          <w:szCs w:val="20"/>
          <w:lang w:val="es-ES"/>
        </w:rPr>
        <w:t xml:space="preserve"> Por otra parte, verifica esta Sala que mediante oficio </w:t>
      </w:r>
      <w:proofErr w:type="spellStart"/>
      <w:r w:rsidR="00AB28D9" w:rsidRPr="001115F4">
        <w:rPr>
          <w:rFonts w:eastAsia="Times New Roman"/>
          <w:i/>
          <w:iCs/>
          <w:color w:val="000000"/>
          <w:sz w:val="20"/>
          <w:szCs w:val="20"/>
          <w:lang w:val="es-ES"/>
        </w:rPr>
        <w:t>DAJ</w:t>
      </w:r>
      <w:proofErr w:type="spellEnd"/>
      <w:r w:rsidR="00AB28D9" w:rsidRPr="001115F4">
        <w:rPr>
          <w:rFonts w:eastAsia="Times New Roman"/>
          <w:i/>
          <w:iCs/>
          <w:color w:val="000000"/>
          <w:sz w:val="20"/>
          <w:szCs w:val="20"/>
          <w:lang w:val="es-ES"/>
        </w:rPr>
        <w:t xml:space="preserve">-06-1952 del diecisiete de julio de dos mil seis, la Dirección de Asuntos Jurídicos, en su condición de Órgano Director del procedimiento, remitió a la Junta Directiva del Consejo de Transporte Público la recomendación de resolución del procedimiento seguido contra el amparado, misma que inclusive en su parte dispositiva recomienda a su vez tener por notificado automáticamente al amparado en virtud de la situación señalada líneas arriba. Finalmente, se tiene por demostrado que mediante acuerdo adoptado </w:t>
      </w:r>
      <w:r w:rsidRPr="001115F4">
        <w:rPr>
          <w:rFonts w:eastAsia="Times New Roman"/>
          <w:i/>
          <w:iCs/>
          <w:color w:val="000000"/>
          <w:sz w:val="20"/>
          <w:szCs w:val="20"/>
          <w:lang w:val="es-ES"/>
        </w:rPr>
        <w:t>(…)</w:t>
      </w:r>
      <w:r w:rsidR="00AB28D9" w:rsidRPr="001115F4">
        <w:rPr>
          <w:rFonts w:eastAsia="Times New Roman"/>
          <w:i/>
          <w:iCs/>
          <w:color w:val="000000"/>
          <w:sz w:val="20"/>
          <w:szCs w:val="20"/>
          <w:lang w:val="es-ES"/>
        </w:rPr>
        <w:t xml:space="preserve">, la Junta Directiva del Consejo de Transporte Público declaró la caducidad de la concesión sobre el taxi </w:t>
      </w:r>
      <w:r w:rsidRPr="001115F4">
        <w:rPr>
          <w:rFonts w:eastAsia="Times New Roman"/>
          <w:i/>
          <w:iCs/>
          <w:color w:val="000000"/>
          <w:sz w:val="20"/>
          <w:szCs w:val="20"/>
          <w:lang w:val="es-ES"/>
        </w:rPr>
        <w:t>(…)</w:t>
      </w:r>
      <w:r w:rsidR="00AB28D9" w:rsidRPr="001115F4">
        <w:rPr>
          <w:rFonts w:eastAsia="Times New Roman"/>
          <w:i/>
          <w:iCs/>
          <w:color w:val="000000"/>
          <w:sz w:val="20"/>
          <w:szCs w:val="20"/>
          <w:lang w:val="es-ES"/>
        </w:rPr>
        <w:t xml:space="preserve">, resolución que igualmente se tuvo por notificada en forma automática el dieciocho de octubre del dos mil seis (ver folio 103 vuelto del expediente). V.- De conformidad con esta situación, la Sala descarta que se haya vulnerado el principio constitucional del debido proceso en perjuicio del amparado, toda vez que durante las etapas iniciales del procedimiento administrativo, el Consejo de Transporte Público siempre intentó localizar al amparado en los medios señalados por él mismo en su </w:t>
      </w:r>
      <w:r w:rsidR="00AB28D9" w:rsidRPr="001115F4">
        <w:rPr>
          <w:rFonts w:eastAsia="Times New Roman"/>
          <w:i/>
          <w:iCs/>
          <w:color w:val="000000"/>
          <w:sz w:val="20"/>
          <w:szCs w:val="20"/>
          <w:lang w:val="es-ES"/>
        </w:rPr>
        <w:lastRenderedPageBreak/>
        <w:t>oferta; no obstante, luego de varios intentos fallidos que no pueden serle atribuidos a la administración, debió procederse según lo dispuesto en la Ley de Notificaciones vigente para ese momento, dando por notificado automáticamente al amparado. En otras palabras, en el caso bajo estudio no se trata de que el Consejo omitiera notificar al amparado las resoluciones correspondientes, sino que la ausencia de notificación se debió a circunstancias ajenas al Consejo recurrido, por lo que éste tuvo que disponer que se aplicara la normativa relacionada a la notificación automática."</w:t>
      </w:r>
      <w:r w:rsidR="00AB28D9" w:rsidRPr="001115F4">
        <w:rPr>
          <w:rFonts w:eastAsia="Times New Roman"/>
          <w:color w:val="000000"/>
          <w:sz w:val="20"/>
          <w:szCs w:val="20"/>
          <w:lang w:val="es-ES"/>
        </w:rPr>
        <w:t xml:space="preserve"> (Sala Constitucional de la Corte Suprema de Justicia, resolución 9835-2009, de las doce horas y veintisiete minutos del diecinueve de junio del dos mil nueve</w:t>
      </w:r>
      <w:proofErr w:type="gramStart"/>
      <w:r w:rsidR="00AB28D9" w:rsidRPr="001115F4">
        <w:rPr>
          <w:rFonts w:eastAsia="Times New Roman"/>
          <w:color w:val="000000"/>
          <w:sz w:val="20"/>
          <w:szCs w:val="20"/>
          <w:lang w:val="es-ES"/>
        </w:rPr>
        <w:t>).</w:t>
      </w:r>
      <w:r w:rsidR="005E0386" w:rsidRPr="001115F4">
        <w:rPr>
          <w:rFonts w:eastAsia="Times New Roman"/>
          <w:color w:val="000000"/>
          <w:sz w:val="20"/>
          <w:szCs w:val="20"/>
          <w:lang w:val="es-ES"/>
        </w:rPr>
        <w:t>(</w:t>
      </w:r>
      <w:proofErr w:type="gramEnd"/>
      <w:r w:rsidR="005E0386" w:rsidRPr="001115F4">
        <w:rPr>
          <w:rFonts w:eastAsia="Times New Roman"/>
          <w:color w:val="000000"/>
          <w:sz w:val="20"/>
          <w:szCs w:val="20"/>
          <w:lang w:val="es-ES"/>
        </w:rPr>
        <w:t>…)” [Subrayado agregado]</w:t>
      </w:r>
    </w:p>
    <w:p w:rsidR="003155BC" w:rsidRPr="00BF2F77" w:rsidRDefault="003155BC" w:rsidP="00BF2F77">
      <w:pPr>
        <w:pStyle w:val="Style9"/>
        <w:tabs>
          <w:tab w:val="left" w:pos="426"/>
        </w:tabs>
        <w:kinsoku w:val="0"/>
        <w:autoSpaceDE/>
        <w:autoSpaceDN/>
        <w:spacing w:before="0" w:line="276" w:lineRule="auto"/>
        <w:ind w:left="0" w:right="0"/>
        <w:rPr>
          <w:iCs/>
          <w:lang w:val="es-CR"/>
        </w:rPr>
      </w:pPr>
    </w:p>
    <w:p w:rsidR="005E0386" w:rsidRDefault="005E0386" w:rsidP="00374D55">
      <w:pPr>
        <w:pStyle w:val="Style1"/>
        <w:kinsoku w:val="0"/>
        <w:autoSpaceDE/>
        <w:autoSpaceDN/>
        <w:adjustRightInd/>
        <w:spacing w:line="276" w:lineRule="auto"/>
        <w:ind w:left="0" w:right="618"/>
        <w:rPr>
          <w:shd w:val="clear" w:color="auto" w:fill="FFFFFF"/>
          <w:lang w:val="es-CR"/>
        </w:rPr>
      </w:pPr>
      <w:r>
        <w:rPr>
          <w:shd w:val="clear" w:color="auto" w:fill="FFFFFF"/>
          <w:lang w:val="es-CR"/>
        </w:rPr>
        <w:t xml:space="preserve">El análisis de los autos remitidos por el Consejo de Transporte Público, y constan en el expediente del caso, este Tribunal, ha determinado que en el Artículo XIV del contrato de concesión para la placa de Taxi </w:t>
      </w:r>
      <w:proofErr w:type="spellStart"/>
      <w:r>
        <w:rPr>
          <w:shd w:val="clear" w:color="auto" w:fill="FFFFFF"/>
          <w:lang w:val="es-CR"/>
        </w:rPr>
        <w:t>TSJ-</w:t>
      </w:r>
      <w:r w:rsidR="004A4753">
        <w:rPr>
          <w:shd w:val="clear" w:color="auto" w:fill="FFFFFF"/>
          <w:lang w:val="es-CR"/>
        </w:rPr>
        <w:t>XXXX</w:t>
      </w:r>
      <w:proofErr w:type="spellEnd"/>
      <w:r>
        <w:rPr>
          <w:shd w:val="clear" w:color="auto" w:fill="FFFFFF"/>
          <w:lang w:val="es-CR"/>
        </w:rPr>
        <w:t>, se detalla lo siguiente:</w:t>
      </w:r>
    </w:p>
    <w:p w:rsidR="005E0386" w:rsidRDefault="005E0386" w:rsidP="00374D55">
      <w:pPr>
        <w:pStyle w:val="Style1"/>
        <w:kinsoku w:val="0"/>
        <w:autoSpaceDE/>
        <w:autoSpaceDN/>
        <w:adjustRightInd/>
        <w:spacing w:line="276" w:lineRule="auto"/>
        <w:ind w:left="0" w:right="618"/>
        <w:rPr>
          <w:shd w:val="clear" w:color="auto" w:fill="FFFFFF"/>
          <w:lang w:val="es-CR"/>
        </w:rPr>
      </w:pPr>
    </w:p>
    <w:p w:rsidR="00282EBB" w:rsidRPr="00282EBB" w:rsidRDefault="00282EBB" w:rsidP="00282EBB">
      <w:pPr>
        <w:kinsoku w:val="0"/>
        <w:overflowPunct w:val="0"/>
        <w:textAlignment w:val="baseline"/>
        <w:rPr>
          <w:bCs/>
          <w:spacing w:val="1"/>
        </w:rPr>
      </w:pPr>
      <w:r w:rsidRPr="00282EBB">
        <w:rPr>
          <w:shd w:val="clear" w:color="auto" w:fill="FFFFFF"/>
        </w:rPr>
        <w:t>“</w:t>
      </w:r>
      <w:r w:rsidRPr="00282EBB">
        <w:rPr>
          <w:b/>
          <w:shd w:val="clear" w:color="auto" w:fill="FFFFFF"/>
        </w:rPr>
        <w:t xml:space="preserve">ARTICULO XIV.- SEÑALAMIENTO DE </w:t>
      </w:r>
      <w:r w:rsidRPr="00282EBB">
        <w:rPr>
          <w:b/>
          <w:bCs/>
          <w:spacing w:val="1"/>
        </w:rPr>
        <w:t xml:space="preserve">LUGAR PARA </w:t>
      </w:r>
      <w:proofErr w:type="spellStart"/>
      <w:r w:rsidRPr="00282EBB">
        <w:rPr>
          <w:b/>
          <w:bCs/>
          <w:spacing w:val="1"/>
        </w:rPr>
        <w:t>OIR</w:t>
      </w:r>
      <w:proofErr w:type="spellEnd"/>
      <w:r w:rsidRPr="00282EBB">
        <w:rPr>
          <w:b/>
          <w:bCs/>
          <w:spacing w:val="1"/>
        </w:rPr>
        <w:t xml:space="preserve"> NOTIFICACIONES</w:t>
      </w:r>
    </w:p>
    <w:p w:rsidR="00282EBB" w:rsidRPr="00282EBB" w:rsidRDefault="00282EBB" w:rsidP="00282EBB">
      <w:pPr>
        <w:kinsoku w:val="0"/>
        <w:overflowPunct w:val="0"/>
        <w:textAlignment w:val="baseline"/>
        <w:rPr>
          <w:spacing w:val="-6"/>
        </w:rPr>
      </w:pPr>
      <w:r w:rsidRPr="00282EBB">
        <w:rPr>
          <w:bCs/>
          <w:spacing w:val="-6"/>
        </w:rPr>
        <w:t xml:space="preserve">A efecto de que el Consejo de Transporte </w:t>
      </w:r>
      <w:r w:rsidR="004A4753" w:rsidRPr="00282EBB">
        <w:rPr>
          <w:bCs/>
          <w:spacing w:val="-6"/>
        </w:rPr>
        <w:t>P</w:t>
      </w:r>
      <w:r w:rsidR="004A4753">
        <w:rPr>
          <w:bCs/>
          <w:spacing w:val="-6"/>
        </w:rPr>
        <w:t>ú</w:t>
      </w:r>
      <w:r w:rsidR="004A4753" w:rsidRPr="00282EBB">
        <w:rPr>
          <w:bCs/>
          <w:spacing w:val="-6"/>
        </w:rPr>
        <w:t>blico</w:t>
      </w:r>
      <w:r w:rsidRPr="00282EBB">
        <w:rPr>
          <w:bCs/>
          <w:spacing w:val="-6"/>
        </w:rPr>
        <w:t xml:space="preserve"> comunique las directrices administrativas que sean necesarias para que este </w:t>
      </w:r>
      <w:r w:rsidRPr="00282EBB">
        <w:rPr>
          <w:spacing w:val="-6"/>
        </w:rPr>
        <w:t xml:space="preserve">servicio público se lleve a </w:t>
      </w:r>
      <w:r w:rsidRPr="00282EBB">
        <w:rPr>
          <w:bCs/>
          <w:spacing w:val="-6"/>
        </w:rPr>
        <w:t>cabo en forma eficiente y en beneficio del usuario, conceder audiencias para velar por el debido proceso, así como para la comunicación de cualquier acto administrativo emitido por el concedente, de i</w:t>
      </w:r>
      <w:r w:rsidRPr="00282EBB">
        <w:rPr>
          <w:spacing w:val="-6"/>
        </w:rPr>
        <w:t>nter</w:t>
      </w:r>
      <w:r>
        <w:rPr>
          <w:spacing w:val="-6"/>
        </w:rPr>
        <w:t xml:space="preserve">és </w:t>
      </w:r>
      <w:r w:rsidRPr="00282EBB">
        <w:rPr>
          <w:spacing w:val="-6"/>
        </w:rPr>
        <w:t xml:space="preserve">para </w:t>
      </w:r>
      <w:r w:rsidRPr="00282EBB">
        <w:rPr>
          <w:b/>
          <w:bCs/>
          <w:spacing w:val="-6"/>
        </w:rPr>
        <w:t>EL CONCESIONARIO (A)</w:t>
      </w:r>
      <w:r w:rsidRPr="00282EBB">
        <w:rPr>
          <w:bCs/>
          <w:spacing w:val="-6"/>
        </w:rPr>
        <w:t xml:space="preserve"> se se</w:t>
      </w:r>
      <w:r>
        <w:rPr>
          <w:bCs/>
          <w:spacing w:val="-6"/>
        </w:rPr>
        <w:t>ñ</w:t>
      </w:r>
      <w:r w:rsidRPr="00282EBB">
        <w:rPr>
          <w:bCs/>
          <w:spacing w:val="-6"/>
        </w:rPr>
        <w:t>ala como medio y lugar para recibir notificaciones: Calle 3</w:t>
      </w:r>
      <w:r>
        <w:rPr>
          <w:bCs/>
          <w:spacing w:val="-6"/>
        </w:rPr>
        <w:t>,</w:t>
      </w:r>
      <w:r w:rsidRPr="00282EBB">
        <w:rPr>
          <w:bCs/>
          <w:spacing w:val="-6"/>
        </w:rPr>
        <w:t xml:space="preserve"> avenida 6 y 8, #674, facsímil </w:t>
      </w:r>
      <w:r w:rsidR="004A4753">
        <w:rPr>
          <w:bCs/>
          <w:spacing w:val="-6"/>
        </w:rPr>
        <w:t>….</w:t>
      </w:r>
      <w:r w:rsidRPr="00282EBB">
        <w:rPr>
          <w:bCs/>
          <w:spacing w:val="-6"/>
        </w:rPr>
        <w:t xml:space="preserve"> </w:t>
      </w:r>
      <w:proofErr w:type="spellStart"/>
      <w:r w:rsidRPr="00282EBB">
        <w:rPr>
          <w:bCs/>
          <w:spacing w:val="-6"/>
        </w:rPr>
        <w:t>ó</w:t>
      </w:r>
      <w:proofErr w:type="spellEnd"/>
      <w:r w:rsidRPr="00282EBB">
        <w:rPr>
          <w:bCs/>
          <w:spacing w:val="-6"/>
        </w:rPr>
        <w:t xml:space="preserve"> </w:t>
      </w:r>
      <w:r w:rsidRPr="00282EBB">
        <w:rPr>
          <w:spacing w:val="-6"/>
        </w:rPr>
        <w:t>al teléfono</w:t>
      </w:r>
      <w:proofErr w:type="gramStart"/>
      <w:r w:rsidRPr="00282EBB">
        <w:rPr>
          <w:spacing w:val="-6"/>
        </w:rPr>
        <w:t xml:space="preserve"> </w:t>
      </w:r>
      <w:r w:rsidR="004A4753">
        <w:rPr>
          <w:spacing w:val="-6"/>
        </w:rPr>
        <w:t>….</w:t>
      </w:r>
      <w:proofErr w:type="gramEnd"/>
      <w:r w:rsidR="004A4753">
        <w:rPr>
          <w:spacing w:val="-6"/>
        </w:rPr>
        <w:t>.</w:t>
      </w:r>
      <w:r w:rsidRPr="00282EBB">
        <w:rPr>
          <w:spacing w:val="-6"/>
        </w:rPr>
        <w:t xml:space="preserve"> /</w:t>
      </w:r>
      <w:r w:rsidR="004A4753">
        <w:rPr>
          <w:spacing w:val="-6"/>
        </w:rPr>
        <w:t>…</w:t>
      </w:r>
      <w:r w:rsidRPr="00282EBB">
        <w:rPr>
          <w:spacing w:val="-6"/>
        </w:rPr>
        <w:t xml:space="preserve">. (…)” (Léanse los folios 83 a 88 del expediente </w:t>
      </w:r>
      <w:proofErr w:type="spellStart"/>
      <w:r w:rsidRPr="00282EBB">
        <w:rPr>
          <w:spacing w:val="-6"/>
        </w:rPr>
        <w:t>TAT</w:t>
      </w:r>
      <w:proofErr w:type="spellEnd"/>
      <w:r w:rsidRPr="00282EBB">
        <w:rPr>
          <w:spacing w:val="-6"/>
        </w:rPr>
        <w:t>-408-15)</w:t>
      </w:r>
    </w:p>
    <w:p w:rsidR="005E0386" w:rsidRDefault="005E0386" w:rsidP="00374D55">
      <w:pPr>
        <w:pStyle w:val="Style1"/>
        <w:kinsoku w:val="0"/>
        <w:autoSpaceDE/>
        <w:autoSpaceDN/>
        <w:adjustRightInd/>
        <w:spacing w:line="276" w:lineRule="auto"/>
        <w:ind w:left="0" w:right="618"/>
        <w:rPr>
          <w:shd w:val="clear" w:color="auto" w:fill="FFFFFF"/>
          <w:lang w:val="es-CR"/>
        </w:rPr>
      </w:pPr>
    </w:p>
    <w:p w:rsidR="00282EBB" w:rsidRDefault="00282EBB" w:rsidP="00374D55">
      <w:pPr>
        <w:pStyle w:val="Style1"/>
        <w:kinsoku w:val="0"/>
        <w:autoSpaceDE/>
        <w:autoSpaceDN/>
        <w:adjustRightInd/>
        <w:spacing w:line="276" w:lineRule="auto"/>
        <w:ind w:left="0" w:right="618"/>
        <w:rPr>
          <w:bCs/>
          <w:spacing w:val="-6"/>
          <w:lang w:val="es-CR"/>
        </w:rPr>
      </w:pPr>
      <w:r>
        <w:rPr>
          <w:shd w:val="clear" w:color="auto" w:fill="FFFFFF"/>
          <w:lang w:val="es-CR"/>
        </w:rPr>
        <w:t xml:space="preserve">Sin embargo, tanto el traslado de cargos, como el acto administrativo que caduca la concesión bajo la placa de Taxi </w:t>
      </w:r>
      <w:proofErr w:type="spellStart"/>
      <w:r>
        <w:rPr>
          <w:shd w:val="clear" w:color="auto" w:fill="FFFFFF"/>
          <w:lang w:val="es-CR"/>
        </w:rPr>
        <w:t>TSJ</w:t>
      </w:r>
      <w:proofErr w:type="spellEnd"/>
      <w:r>
        <w:rPr>
          <w:shd w:val="clear" w:color="auto" w:fill="FFFFFF"/>
          <w:lang w:val="es-CR"/>
        </w:rPr>
        <w:t xml:space="preserve"> -</w:t>
      </w:r>
      <w:proofErr w:type="spellStart"/>
      <w:r w:rsidR="004A4753">
        <w:rPr>
          <w:shd w:val="clear" w:color="auto" w:fill="FFFFFF"/>
          <w:lang w:val="es-CR"/>
        </w:rPr>
        <w:t>XXXX</w:t>
      </w:r>
      <w:proofErr w:type="spellEnd"/>
      <w:r>
        <w:rPr>
          <w:shd w:val="clear" w:color="auto" w:fill="FFFFFF"/>
          <w:lang w:val="es-CR"/>
        </w:rPr>
        <w:t xml:space="preserve">, aquí impugnado, se intentaron notificar al fax 2254-5423; obviando que el primero se </w:t>
      </w:r>
      <w:r w:rsidRPr="001115F4">
        <w:rPr>
          <w:shd w:val="clear" w:color="auto" w:fill="FFFFFF"/>
          <w:lang w:val="es-CR"/>
        </w:rPr>
        <w:t>había establecido un lugar para notificaciones, a saber: “</w:t>
      </w:r>
      <w:r w:rsidRPr="001115F4">
        <w:rPr>
          <w:bCs/>
          <w:spacing w:val="-6"/>
          <w:lang w:val="es-CR"/>
        </w:rPr>
        <w:t>Calle 3, avenida 6 y 8, #674</w:t>
      </w:r>
      <w:r w:rsidR="001115F4" w:rsidRPr="001115F4">
        <w:rPr>
          <w:bCs/>
          <w:spacing w:val="-6"/>
          <w:lang w:val="es-CR"/>
        </w:rPr>
        <w:t xml:space="preserve">”, lugar sobre el cual </w:t>
      </w:r>
      <w:r w:rsidR="001115F4" w:rsidRPr="001115F4">
        <w:rPr>
          <w:b/>
          <w:bCs/>
          <w:spacing w:val="-6"/>
          <w:lang w:val="es-CR"/>
        </w:rPr>
        <w:t>no hay constancia</w:t>
      </w:r>
      <w:r w:rsidR="001115F4" w:rsidRPr="001115F4">
        <w:rPr>
          <w:bCs/>
          <w:spacing w:val="-6"/>
          <w:lang w:val="es-CR"/>
        </w:rPr>
        <w:t xml:space="preserve"> en el expediente de que se hubiese intentado </w:t>
      </w:r>
      <w:r w:rsidR="001115F4">
        <w:rPr>
          <w:bCs/>
          <w:spacing w:val="-6"/>
          <w:lang w:val="es-CR"/>
        </w:rPr>
        <w:t>agotar el primer lugar señalado para notificaciones, ni se dejó constancia de los intentos de localización en los números de teléfono contractualmente indicados.</w:t>
      </w:r>
    </w:p>
    <w:p w:rsidR="001115F4" w:rsidRDefault="001115F4" w:rsidP="00374D55">
      <w:pPr>
        <w:pStyle w:val="Style1"/>
        <w:kinsoku w:val="0"/>
        <w:autoSpaceDE/>
        <w:autoSpaceDN/>
        <w:adjustRightInd/>
        <w:spacing w:line="276" w:lineRule="auto"/>
        <w:ind w:left="0" w:right="618"/>
        <w:rPr>
          <w:bCs/>
          <w:spacing w:val="-6"/>
          <w:lang w:val="es-CR"/>
        </w:rPr>
      </w:pPr>
    </w:p>
    <w:p w:rsidR="001115F4" w:rsidRDefault="001115F4" w:rsidP="00374D55">
      <w:pPr>
        <w:pStyle w:val="Style1"/>
        <w:kinsoku w:val="0"/>
        <w:autoSpaceDE/>
        <w:autoSpaceDN/>
        <w:adjustRightInd/>
        <w:spacing w:line="276" w:lineRule="auto"/>
        <w:ind w:left="0" w:right="618"/>
        <w:rPr>
          <w:color w:val="000000" w:themeColor="text1"/>
          <w:lang w:val="es-CR"/>
        </w:rPr>
      </w:pPr>
      <w:r>
        <w:rPr>
          <w:bCs/>
          <w:spacing w:val="-6"/>
          <w:lang w:val="es-CR"/>
        </w:rPr>
        <w:t xml:space="preserve">Por lo anterior, es claro que la Administración, no agotó todos los lugares y medios de notificación contractualmente estipulados, violentando el derecho de audiencia y defensa del concesionario </w:t>
      </w:r>
      <w:proofErr w:type="spellStart"/>
      <w:r w:rsidRPr="00BF2F77">
        <w:rPr>
          <w:b/>
          <w:smallCaps/>
          <w:lang w:val="es-CR"/>
        </w:rPr>
        <w:t>S</w:t>
      </w:r>
      <w:r w:rsidR="004A4753">
        <w:rPr>
          <w:b/>
          <w:smallCaps/>
          <w:lang w:val="es-CR"/>
        </w:rPr>
        <w:t>LLC</w:t>
      </w:r>
      <w:proofErr w:type="spellEnd"/>
      <w:r>
        <w:rPr>
          <w:lang w:val="es-CR"/>
        </w:rPr>
        <w:t xml:space="preserve">, lo que constituye también una violación flagrante del debido procedimiento administrativo, que vicia de nulidad absoluta el </w:t>
      </w:r>
      <w:r w:rsidRPr="00BF2F77">
        <w:rPr>
          <w:b/>
          <w:color w:val="000000" w:themeColor="text1"/>
          <w:lang w:val="es-CR"/>
        </w:rPr>
        <w:t>Artículo 7.5.1 de la Sesión Ordinaria 47-2015 del 12 de agosto del 2015</w:t>
      </w:r>
      <w:r w:rsidRPr="00BF2F77">
        <w:rPr>
          <w:color w:val="000000" w:themeColor="text1"/>
          <w:lang w:val="es-CR"/>
        </w:rPr>
        <w:t>, adoptado por la Junta Directiva del Consejo de Transporte Público, de ahí que</w:t>
      </w:r>
      <w:r>
        <w:rPr>
          <w:color w:val="000000" w:themeColor="text1"/>
          <w:lang w:val="es-CR"/>
        </w:rPr>
        <w:t xml:space="preserve"> lo procedente es declarar su nulidad.</w:t>
      </w:r>
    </w:p>
    <w:p w:rsidR="001115F4" w:rsidRDefault="001115F4" w:rsidP="00374D55">
      <w:pPr>
        <w:pStyle w:val="Style1"/>
        <w:kinsoku w:val="0"/>
        <w:autoSpaceDE/>
        <w:autoSpaceDN/>
        <w:adjustRightInd/>
        <w:spacing w:line="276" w:lineRule="auto"/>
        <w:ind w:left="0" w:right="618"/>
        <w:rPr>
          <w:color w:val="000000" w:themeColor="text1"/>
          <w:lang w:val="es-CR"/>
        </w:rPr>
      </w:pPr>
    </w:p>
    <w:p w:rsidR="001115F4" w:rsidRDefault="001115F4" w:rsidP="0016156F">
      <w:pPr>
        <w:autoSpaceDE w:val="0"/>
        <w:autoSpaceDN w:val="0"/>
        <w:adjustRightInd w:val="0"/>
        <w:spacing w:line="276" w:lineRule="auto"/>
        <w:ind w:left="0" w:right="0"/>
        <w:jc w:val="center"/>
        <w:rPr>
          <w:b/>
          <w:sz w:val="24"/>
          <w:szCs w:val="24"/>
        </w:rPr>
      </w:pPr>
    </w:p>
    <w:p w:rsidR="0016156F" w:rsidRPr="00BF2F77" w:rsidRDefault="0016156F" w:rsidP="0016156F">
      <w:pPr>
        <w:autoSpaceDE w:val="0"/>
        <w:autoSpaceDN w:val="0"/>
        <w:adjustRightInd w:val="0"/>
        <w:spacing w:line="276" w:lineRule="auto"/>
        <w:ind w:left="0" w:right="0"/>
        <w:jc w:val="center"/>
        <w:rPr>
          <w:b/>
          <w:sz w:val="24"/>
          <w:szCs w:val="24"/>
        </w:rPr>
      </w:pPr>
      <w:r w:rsidRPr="00BF2F77">
        <w:rPr>
          <w:b/>
          <w:sz w:val="24"/>
          <w:szCs w:val="24"/>
        </w:rPr>
        <w:t>POR TANTO</w:t>
      </w:r>
    </w:p>
    <w:p w:rsidR="0016156F" w:rsidRDefault="0016156F" w:rsidP="0016156F">
      <w:pPr>
        <w:spacing w:line="276" w:lineRule="auto"/>
        <w:ind w:left="0" w:right="0"/>
        <w:rPr>
          <w:b/>
          <w:sz w:val="24"/>
          <w:szCs w:val="24"/>
        </w:rPr>
      </w:pPr>
    </w:p>
    <w:p w:rsidR="001115F4" w:rsidRPr="00BF2F77" w:rsidRDefault="001115F4" w:rsidP="0016156F">
      <w:pPr>
        <w:spacing w:line="276" w:lineRule="auto"/>
        <w:ind w:left="0" w:right="0"/>
        <w:rPr>
          <w:b/>
          <w:sz w:val="24"/>
          <w:szCs w:val="24"/>
        </w:rPr>
      </w:pPr>
    </w:p>
    <w:p w:rsidR="001115F4" w:rsidRPr="001115F4" w:rsidRDefault="0016156F" w:rsidP="001115F4">
      <w:pPr>
        <w:spacing w:line="276" w:lineRule="auto"/>
        <w:ind w:left="0" w:right="57"/>
        <w:rPr>
          <w:color w:val="000000" w:themeColor="text1"/>
          <w:sz w:val="24"/>
          <w:szCs w:val="24"/>
          <w:u w:val="words"/>
        </w:rPr>
      </w:pPr>
      <w:r w:rsidRPr="00BF2F77">
        <w:rPr>
          <w:b/>
          <w:sz w:val="24"/>
          <w:szCs w:val="24"/>
        </w:rPr>
        <w:lastRenderedPageBreak/>
        <w:t xml:space="preserve">I.- </w:t>
      </w:r>
      <w:r w:rsidRPr="001115F4">
        <w:rPr>
          <w:b/>
          <w:sz w:val="24"/>
          <w:szCs w:val="24"/>
        </w:rPr>
        <w:tab/>
      </w:r>
      <w:r w:rsidRPr="001115F4">
        <w:rPr>
          <w:sz w:val="24"/>
          <w:szCs w:val="24"/>
        </w:rPr>
        <w:t>S</w:t>
      </w:r>
      <w:r w:rsidRPr="001115F4">
        <w:rPr>
          <w:iCs/>
          <w:sz w:val="24"/>
          <w:szCs w:val="24"/>
        </w:rPr>
        <w:t xml:space="preserve">e resuelve </w:t>
      </w:r>
      <w:r w:rsidR="001115F4" w:rsidRPr="001115F4">
        <w:rPr>
          <w:b/>
          <w:iCs/>
          <w:smallCaps/>
          <w:sz w:val="24"/>
          <w:szCs w:val="24"/>
          <w:u w:val="single"/>
        </w:rPr>
        <w:t>Anular</w:t>
      </w:r>
      <w:r w:rsidR="005B6C4F" w:rsidRPr="001115F4">
        <w:rPr>
          <w:b/>
          <w:iCs/>
          <w:smallCaps/>
          <w:sz w:val="24"/>
          <w:szCs w:val="24"/>
        </w:rPr>
        <w:t xml:space="preserve"> </w:t>
      </w:r>
      <w:r w:rsidRPr="001115F4">
        <w:rPr>
          <w:sz w:val="24"/>
          <w:szCs w:val="24"/>
        </w:rPr>
        <w:t xml:space="preserve">el </w:t>
      </w:r>
      <w:r w:rsidR="00CD7B02" w:rsidRPr="001115F4">
        <w:rPr>
          <w:b/>
          <w:sz w:val="24"/>
          <w:szCs w:val="24"/>
        </w:rPr>
        <w:t>Artículo 7.5.1 de la Sesión Ordinaria 47-2015 del 12 de agosto del 2015</w:t>
      </w:r>
      <w:r w:rsidRPr="001115F4">
        <w:rPr>
          <w:sz w:val="24"/>
          <w:szCs w:val="24"/>
        </w:rPr>
        <w:t>, emitido por la Junta Directiva del Consejo de Tra</w:t>
      </w:r>
      <w:r w:rsidR="00AC2A6F" w:rsidRPr="001115F4">
        <w:rPr>
          <w:sz w:val="24"/>
          <w:szCs w:val="24"/>
        </w:rPr>
        <w:t>n</w:t>
      </w:r>
      <w:r w:rsidRPr="001115F4">
        <w:rPr>
          <w:sz w:val="24"/>
          <w:szCs w:val="24"/>
        </w:rPr>
        <w:t>sporte Público</w:t>
      </w:r>
      <w:r w:rsidR="001115F4" w:rsidRPr="001115F4">
        <w:rPr>
          <w:color w:val="000000" w:themeColor="text1"/>
          <w:sz w:val="24"/>
          <w:szCs w:val="24"/>
          <w:u w:val="words"/>
        </w:rPr>
        <w:t xml:space="preserve"> </w:t>
      </w:r>
    </w:p>
    <w:p w:rsidR="001115F4" w:rsidRPr="001115F4" w:rsidRDefault="001115F4" w:rsidP="001115F4">
      <w:pPr>
        <w:spacing w:line="276" w:lineRule="auto"/>
        <w:ind w:left="0" w:right="57"/>
        <w:rPr>
          <w:color w:val="000000" w:themeColor="text1"/>
          <w:sz w:val="24"/>
          <w:szCs w:val="24"/>
          <w:u w:val="words"/>
        </w:rPr>
      </w:pPr>
    </w:p>
    <w:p w:rsidR="001115F4" w:rsidRPr="001115F4" w:rsidRDefault="001115F4" w:rsidP="001115F4">
      <w:pPr>
        <w:spacing w:line="276" w:lineRule="auto"/>
        <w:ind w:left="0" w:right="57"/>
        <w:rPr>
          <w:color w:val="000000" w:themeColor="text1"/>
          <w:sz w:val="24"/>
          <w:szCs w:val="24"/>
        </w:rPr>
      </w:pPr>
      <w:r w:rsidRPr="001115F4">
        <w:rPr>
          <w:b/>
          <w:color w:val="000000" w:themeColor="text1"/>
          <w:sz w:val="24"/>
          <w:szCs w:val="24"/>
        </w:rPr>
        <w:t>II.-</w:t>
      </w:r>
      <w:r w:rsidRPr="001115F4">
        <w:rPr>
          <w:b/>
          <w:color w:val="000000" w:themeColor="text1"/>
          <w:sz w:val="24"/>
          <w:szCs w:val="24"/>
        </w:rPr>
        <w:tab/>
      </w:r>
      <w:r w:rsidRPr="001115F4">
        <w:rPr>
          <w:color w:val="000000" w:themeColor="text1"/>
          <w:sz w:val="24"/>
          <w:szCs w:val="24"/>
        </w:rPr>
        <w:t xml:space="preserve">De conformidad con las disposiciones del Artículo 16 de la Ley No. 7969, rectora en la materia, se recuerda que los fallos de este Tribunal </w:t>
      </w:r>
      <w:r w:rsidRPr="001115F4">
        <w:rPr>
          <w:i/>
          <w:shadow/>
          <w:color w:val="000000" w:themeColor="text1"/>
          <w:sz w:val="24"/>
          <w:szCs w:val="24"/>
        </w:rPr>
        <w:t xml:space="preserve">son de acatamiento inmediato, estricto y obligatorio. </w:t>
      </w:r>
    </w:p>
    <w:p w:rsidR="001115F4" w:rsidRPr="001115F4" w:rsidRDefault="001115F4" w:rsidP="001115F4">
      <w:pPr>
        <w:spacing w:line="276" w:lineRule="auto"/>
        <w:ind w:left="0" w:right="57"/>
        <w:rPr>
          <w:color w:val="000000" w:themeColor="text1"/>
          <w:sz w:val="24"/>
          <w:szCs w:val="24"/>
        </w:rPr>
      </w:pPr>
    </w:p>
    <w:p w:rsidR="001115F4" w:rsidRPr="001115F4" w:rsidRDefault="001115F4" w:rsidP="001115F4">
      <w:pPr>
        <w:spacing w:line="276" w:lineRule="auto"/>
        <w:ind w:left="0" w:right="57"/>
        <w:rPr>
          <w:color w:val="000000" w:themeColor="text1"/>
          <w:sz w:val="24"/>
          <w:szCs w:val="24"/>
        </w:rPr>
      </w:pPr>
      <w:r w:rsidRPr="001115F4">
        <w:rPr>
          <w:b/>
          <w:color w:val="000000" w:themeColor="text1"/>
          <w:sz w:val="24"/>
          <w:szCs w:val="24"/>
        </w:rPr>
        <w:t xml:space="preserve">III.- </w:t>
      </w:r>
      <w:r w:rsidRPr="001115F4">
        <w:rPr>
          <w:color w:val="000000" w:themeColor="text1"/>
          <w:sz w:val="24"/>
          <w:szCs w:val="24"/>
        </w:rPr>
        <w:t xml:space="preserve">De </w:t>
      </w:r>
      <w:r>
        <w:rPr>
          <w:color w:val="000000" w:themeColor="text1"/>
          <w:sz w:val="24"/>
          <w:szCs w:val="24"/>
        </w:rPr>
        <w:t>acuerdo c</w:t>
      </w:r>
      <w:r w:rsidRPr="001115F4">
        <w:rPr>
          <w:color w:val="000000" w:themeColor="text1"/>
          <w:sz w:val="24"/>
          <w:szCs w:val="24"/>
        </w:rPr>
        <w:t>on el artículo 22, inciso c), de la citada Ley 7969, la presente resolución no tiene ulterior recurso por lo que,</w:t>
      </w:r>
      <w:r w:rsidRPr="001115F4">
        <w:rPr>
          <w:b/>
          <w:color w:val="000000" w:themeColor="text1"/>
          <w:sz w:val="24"/>
          <w:szCs w:val="24"/>
        </w:rPr>
        <w:t xml:space="preserve"> </w:t>
      </w:r>
      <w:r w:rsidRPr="001115F4">
        <w:rPr>
          <w:color w:val="000000" w:themeColor="text1"/>
          <w:sz w:val="24"/>
          <w:szCs w:val="24"/>
        </w:rPr>
        <w:t>s</w:t>
      </w:r>
      <w:r w:rsidRPr="001115F4">
        <w:rPr>
          <w:i/>
          <w:shadow/>
          <w:color w:val="000000" w:themeColor="text1"/>
          <w:sz w:val="24"/>
          <w:szCs w:val="24"/>
        </w:rPr>
        <w:t>e tiene por agotada la vía administrativa</w:t>
      </w:r>
      <w:r w:rsidRPr="001115F4">
        <w:rPr>
          <w:color w:val="000000" w:themeColor="text1"/>
          <w:sz w:val="24"/>
          <w:szCs w:val="24"/>
        </w:rPr>
        <w:t xml:space="preserve">. </w:t>
      </w:r>
      <w:r w:rsidRPr="001115F4">
        <w:rPr>
          <w:b/>
          <w:color w:val="000000" w:themeColor="text1"/>
          <w:sz w:val="24"/>
          <w:szCs w:val="24"/>
        </w:rPr>
        <w:t>NOTIFÍQUESE.</w:t>
      </w:r>
    </w:p>
    <w:p w:rsidR="0016156F" w:rsidRPr="00BF2F77" w:rsidRDefault="0016156F" w:rsidP="0016156F">
      <w:pPr>
        <w:spacing w:line="276" w:lineRule="auto"/>
        <w:ind w:left="0" w:right="0"/>
        <w:rPr>
          <w:color w:val="548DD4" w:themeColor="text2" w:themeTint="99"/>
          <w:sz w:val="24"/>
          <w:szCs w:val="24"/>
        </w:rPr>
      </w:pPr>
    </w:p>
    <w:p w:rsidR="0016156F" w:rsidRPr="00BF2F77" w:rsidRDefault="0016156F" w:rsidP="0016156F">
      <w:pPr>
        <w:spacing w:line="276" w:lineRule="auto"/>
        <w:ind w:left="0" w:right="0"/>
        <w:rPr>
          <w:sz w:val="24"/>
          <w:szCs w:val="24"/>
        </w:rPr>
      </w:pPr>
    </w:p>
    <w:p w:rsidR="0016156F" w:rsidRPr="00BF2F77" w:rsidRDefault="0016156F" w:rsidP="0016156F">
      <w:pPr>
        <w:spacing w:line="276" w:lineRule="auto"/>
        <w:ind w:left="0" w:right="0"/>
        <w:jc w:val="center"/>
        <w:rPr>
          <w:sz w:val="24"/>
          <w:szCs w:val="24"/>
        </w:rPr>
      </w:pPr>
    </w:p>
    <w:p w:rsidR="0016156F" w:rsidRPr="00BF2F77" w:rsidRDefault="0016156F" w:rsidP="0016156F">
      <w:pPr>
        <w:spacing w:line="276" w:lineRule="auto"/>
        <w:ind w:left="0" w:right="0"/>
        <w:jc w:val="center"/>
        <w:rPr>
          <w:sz w:val="24"/>
          <w:szCs w:val="24"/>
        </w:rPr>
      </w:pPr>
    </w:p>
    <w:p w:rsidR="0016156F" w:rsidRPr="00BF2F77" w:rsidRDefault="0016156F" w:rsidP="0016156F">
      <w:pPr>
        <w:spacing w:line="276" w:lineRule="auto"/>
        <w:ind w:left="0" w:right="0"/>
        <w:jc w:val="center"/>
        <w:rPr>
          <w:sz w:val="24"/>
          <w:szCs w:val="24"/>
        </w:rPr>
      </w:pPr>
    </w:p>
    <w:p w:rsidR="0016156F" w:rsidRPr="00BF2F77" w:rsidRDefault="0016156F" w:rsidP="0016156F">
      <w:pPr>
        <w:spacing w:line="276" w:lineRule="auto"/>
        <w:ind w:left="0" w:right="0"/>
        <w:jc w:val="center"/>
        <w:rPr>
          <w:sz w:val="24"/>
          <w:szCs w:val="24"/>
        </w:rPr>
      </w:pPr>
      <w:r w:rsidRPr="00BF2F77">
        <w:rPr>
          <w:sz w:val="24"/>
          <w:szCs w:val="24"/>
        </w:rPr>
        <w:t xml:space="preserve">Lic. Carlos Miguel </w:t>
      </w:r>
      <w:proofErr w:type="spellStart"/>
      <w:r w:rsidRPr="00BF2F77">
        <w:rPr>
          <w:sz w:val="24"/>
          <w:szCs w:val="24"/>
        </w:rPr>
        <w:t>Portuguez</w:t>
      </w:r>
      <w:proofErr w:type="spellEnd"/>
      <w:r w:rsidRPr="00BF2F77">
        <w:rPr>
          <w:sz w:val="24"/>
          <w:szCs w:val="24"/>
        </w:rPr>
        <w:t xml:space="preserve"> Méndez</w:t>
      </w:r>
    </w:p>
    <w:p w:rsidR="0016156F" w:rsidRPr="00BF2F77" w:rsidRDefault="0016156F" w:rsidP="0016156F">
      <w:pPr>
        <w:spacing w:line="276" w:lineRule="auto"/>
        <w:ind w:left="0" w:right="0"/>
        <w:jc w:val="center"/>
        <w:rPr>
          <w:b/>
          <w:sz w:val="24"/>
          <w:szCs w:val="24"/>
        </w:rPr>
      </w:pPr>
      <w:r w:rsidRPr="00BF2F77">
        <w:rPr>
          <w:b/>
          <w:sz w:val="24"/>
          <w:szCs w:val="24"/>
        </w:rPr>
        <w:t>Presidente</w:t>
      </w:r>
    </w:p>
    <w:p w:rsidR="0016156F" w:rsidRPr="00BF2F77" w:rsidRDefault="0016156F" w:rsidP="0016156F">
      <w:pPr>
        <w:spacing w:line="276" w:lineRule="auto"/>
        <w:ind w:left="0" w:right="0"/>
        <w:jc w:val="center"/>
        <w:rPr>
          <w:sz w:val="24"/>
          <w:szCs w:val="24"/>
        </w:rPr>
      </w:pPr>
    </w:p>
    <w:p w:rsidR="0016156F" w:rsidRPr="00BF2F77" w:rsidRDefault="0016156F" w:rsidP="0016156F">
      <w:pPr>
        <w:spacing w:line="276" w:lineRule="auto"/>
        <w:ind w:left="0" w:right="0"/>
        <w:jc w:val="center"/>
        <w:rPr>
          <w:sz w:val="24"/>
          <w:szCs w:val="24"/>
        </w:rPr>
      </w:pPr>
    </w:p>
    <w:p w:rsidR="00342B0C" w:rsidRPr="00BF2F77" w:rsidRDefault="00342B0C" w:rsidP="0016156F">
      <w:pPr>
        <w:spacing w:line="276" w:lineRule="auto"/>
        <w:ind w:left="0" w:right="0"/>
        <w:jc w:val="center"/>
        <w:rPr>
          <w:sz w:val="24"/>
          <w:szCs w:val="24"/>
        </w:rPr>
      </w:pPr>
    </w:p>
    <w:p w:rsidR="00342B0C" w:rsidRPr="00BF2F77" w:rsidRDefault="00342B0C" w:rsidP="0016156F">
      <w:pPr>
        <w:spacing w:line="276" w:lineRule="auto"/>
        <w:ind w:left="0" w:right="0"/>
        <w:jc w:val="center"/>
        <w:rPr>
          <w:sz w:val="24"/>
          <w:szCs w:val="24"/>
        </w:rPr>
      </w:pPr>
    </w:p>
    <w:p w:rsidR="0016156F" w:rsidRPr="00BF2F77" w:rsidRDefault="0016156F" w:rsidP="0016156F">
      <w:pPr>
        <w:spacing w:line="276" w:lineRule="auto"/>
        <w:ind w:left="0" w:right="0"/>
        <w:jc w:val="center"/>
        <w:rPr>
          <w:sz w:val="24"/>
          <w:szCs w:val="24"/>
        </w:rPr>
      </w:pPr>
    </w:p>
    <w:p w:rsidR="0016156F" w:rsidRPr="00BF2F77" w:rsidRDefault="0016156F" w:rsidP="0016156F">
      <w:pPr>
        <w:spacing w:line="276" w:lineRule="auto"/>
        <w:ind w:left="0" w:right="0"/>
        <w:jc w:val="center"/>
        <w:rPr>
          <w:sz w:val="24"/>
          <w:szCs w:val="24"/>
        </w:rPr>
      </w:pPr>
      <w:r w:rsidRPr="00BF2F77">
        <w:rPr>
          <w:sz w:val="24"/>
          <w:szCs w:val="24"/>
        </w:rPr>
        <w:t xml:space="preserve">Licda. Marta Luz Pérez Peláez     </w:t>
      </w:r>
      <w:r w:rsidRPr="00BF2F77">
        <w:rPr>
          <w:sz w:val="24"/>
          <w:szCs w:val="24"/>
        </w:rPr>
        <w:tab/>
      </w:r>
      <w:r w:rsidRPr="00BF2F77">
        <w:rPr>
          <w:sz w:val="24"/>
          <w:szCs w:val="24"/>
        </w:rPr>
        <w:tab/>
        <w:t xml:space="preserve">          Lic. Mario Quesada Aguirre</w:t>
      </w:r>
    </w:p>
    <w:p w:rsidR="0016156F" w:rsidRPr="00BF2F77" w:rsidRDefault="0016156F" w:rsidP="0016156F">
      <w:pPr>
        <w:spacing w:line="276" w:lineRule="auto"/>
        <w:ind w:left="0" w:right="0"/>
        <w:jc w:val="center"/>
        <w:rPr>
          <w:b/>
          <w:sz w:val="24"/>
          <w:szCs w:val="24"/>
        </w:rPr>
      </w:pPr>
      <w:r w:rsidRPr="00BF2F77">
        <w:rPr>
          <w:b/>
          <w:sz w:val="24"/>
          <w:szCs w:val="24"/>
        </w:rPr>
        <w:t>Jueza</w:t>
      </w:r>
      <w:r w:rsidRPr="00BF2F77">
        <w:rPr>
          <w:b/>
          <w:sz w:val="24"/>
          <w:szCs w:val="24"/>
        </w:rPr>
        <w:tab/>
      </w:r>
      <w:r w:rsidRPr="00BF2F77">
        <w:rPr>
          <w:b/>
          <w:sz w:val="24"/>
          <w:szCs w:val="24"/>
        </w:rPr>
        <w:tab/>
      </w:r>
      <w:r w:rsidRPr="00BF2F77">
        <w:rPr>
          <w:b/>
          <w:sz w:val="24"/>
          <w:szCs w:val="24"/>
        </w:rPr>
        <w:tab/>
        <w:t xml:space="preserve">     </w:t>
      </w:r>
      <w:r w:rsidRPr="00BF2F77">
        <w:rPr>
          <w:b/>
          <w:sz w:val="24"/>
          <w:szCs w:val="24"/>
        </w:rPr>
        <w:tab/>
      </w:r>
      <w:r w:rsidRPr="00BF2F77">
        <w:rPr>
          <w:b/>
          <w:sz w:val="24"/>
          <w:szCs w:val="24"/>
        </w:rPr>
        <w:tab/>
      </w:r>
      <w:r w:rsidRPr="00BF2F77">
        <w:rPr>
          <w:b/>
          <w:sz w:val="24"/>
          <w:szCs w:val="24"/>
        </w:rPr>
        <w:tab/>
        <w:t xml:space="preserve">         Juez</w:t>
      </w:r>
    </w:p>
    <w:p w:rsidR="0016156F" w:rsidRPr="00BF2F77" w:rsidRDefault="0016156F" w:rsidP="0016156F">
      <w:pPr>
        <w:spacing w:line="276" w:lineRule="auto"/>
        <w:ind w:left="0" w:right="0"/>
        <w:jc w:val="center"/>
        <w:rPr>
          <w:b/>
          <w:sz w:val="24"/>
          <w:szCs w:val="24"/>
        </w:rPr>
      </w:pPr>
    </w:p>
    <w:p w:rsidR="00D20CB6" w:rsidRPr="00BF2F77" w:rsidRDefault="00D20CB6" w:rsidP="0016156F">
      <w:pPr>
        <w:pStyle w:val="Style1"/>
        <w:kinsoku w:val="0"/>
        <w:autoSpaceDE/>
        <w:autoSpaceDN/>
        <w:adjustRightInd/>
        <w:spacing w:line="276" w:lineRule="auto"/>
        <w:ind w:left="0" w:right="618"/>
        <w:rPr>
          <w:b/>
          <w:lang w:val="es-CR"/>
        </w:rPr>
      </w:pPr>
    </w:p>
    <w:sectPr w:rsidR="00D20CB6" w:rsidRPr="00BF2F77" w:rsidSect="00B03753">
      <w:footerReference w:type="even" r:id="rId8"/>
      <w:footerReference w:type="default" r:id="rId9"/>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03C" w:rsidRDefault="00B9703C">
      <w:r>
        <w:separator/>
      </w:r>
    </w:p>
  </w:endnote>
  <w:endnote w:type="continuationSeparator" w:id="0">
    <w:p w:rsidR="00B9703C" w:rsidRDefault="00B97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C1A" w:rsidRDefault="00E13C1A"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13C1A" w:rsidRDefault="00E13C1A"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3716"/>
      <w:docPartObj>
        <w:docPartGallery w:val="Page Numbers (Bottom of Page)"/>
        <w:docPartUnique/>
      </w:docPartObj>
    </w:sdtPr>
    <w:sdtEndPr/>
    <w:sdtContent>
      <w:p w:rsidR="00E13C1A" w:rsidRPr="004705B3" w:rsidRDefault="00E13C1A" w:rsidP="004A4753">
        <w:pPr>
          <w:pStyle w:val="Piedepgina"/>
          <w:ind w:left="0" w:right="0"/>
          <w:jc w:val="right"/>
          <w:rPr>
            <w:b/>
          </w:rPr>
        </w:pPr>
      </w:p>
      <w:p w:rsidR="00E13C1A" w:rsidRDefault="00B9703C">
        <w:pPr>
          <w:pStyle w:val="Piedepgina"/>
          <w:jc w:val="right"/>
        </w:pPr>
      </w:p>
    </w:sdtContent>
  </w:sdt>
  <w:p w:rsidR="00E13C1A" w:rsidRPr="004705B3" w:rsidRDefault="00E13C1A"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03C" w:rsidRDefault="00B9703C">
      <w:r>
        <w:separator/>
      </w:r>
    </w:p>
  </w:footnote>
  <w:footnote w:type="continuationSeparator" w:id="0">
    <w:p w:rsidR="00B9703C" w:rsidRDefault="00B97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C38A"/>
    <w:multiLevelType w:val="singleLevel"/>
    <w:tmpl w:val="1E9A59E2"/>
    <w:lvl w:ilvl="0">
      <w:start w:val="1"/>
      <w:numFmt w:val="lowerLetter"/>
      <w:lvlText w:val="%1."/>
      <w:lvlJc w:val="left"/>
      <w:pPr>
        <w:tabs>
          <w:tab w:val="num" w:pos="1080"/>
        </w:tabs>
        <w:ind w:left="792"/>
      </w:pPr>
      <w:rPr>
        <w:rFonts w:ascii="Times New Roman" w:hAnsi="Times New Roman" w:cs="Times New Roman" w:hint="default"/>
        <w:b w:val="0"/>
        <w:i w:val="0"/>
        <w:snapToGrid/>
        <w:spacing w:val="2"/>
        <w:sz w:val="20"/>
        <w:szCs w:val="20"/>
      </w:rPr>
    </w:lvl>
  </w:abstractNum>
  <w:abstractNum w:abstractNumId="1" w15:restartNumberingAfterBreak="0">
    <w:nsid w:val="011CD692"/>
    <w:multiLevelType w:val="singleLevel"/>
    <w:tmpl w:val="DDEC4C4E"/>
    <w:lvl w:ilvl="0">
      <w:start w:val="1"/>
      <w:numFmt w:val="decimal"/>
      <w:lvlText w:val="%1.-"/>
      <w:lvlJc w:val="left"/>
      <w:pPr>
        <w:tabs>
          <w:tab w:val="num" w:pos="1296"/>
        </w:tabs>
        <w:ind w:left="936"/>
      </w:pPr>
      <w:rPr>
        <w:rFonts w:ascii="Times New Roman" w:hAnsi="Times New Roman" w:cs="Times New Roman" w:hint="default"/>
        <w:snapToGrid/>
        <w:sz w:val="20"/>
        <w:szCs w:val="20"/>
      </w:rPr>
    </w:lvl>
  </w:abstractNum>
  <w:abstractNum w:abstractNumId="2" w15:restartNumberingAfterBreak="0">
    <w:nsid w:val="011F2AC0"/>
    <w:multiLevelType w:val="singleLevel"/>
    <w:tmpl w:val="ADA05CAE"/>
    <w:lvl w:ilvl="0">
      <w:start w:val="1"/>
      <w:numFmt w:val="decimal"/>
      <w:lvlText w:val="%1."/>
      <w:lvlJc w:val="left"/>
      <w:pPr>
        <w:tabs>
          <w:tab w:val="num" w:pos="1368"/>
        </w:tabs>
        <w:ind w:left="1368" w:hanging="288"/>
      </w:pPr>
      <w:rPr>
        <w:rFonts w:ascii="Times New Roman" w:hAnsi="Times New Roman" w:cs="Times New Roman" w:hint="default"/>
        <w:snapToGrid/>
        <w:sz w:val="20"/>
        <w:szCs w:val="20"/>
      </w:rPr>
    </w:lvl>
  </w:abstractNum>
  <w:abstractNum w:abstractNumId="3" w15:restartNumberingAfterBreak="0">
    <w:nsid w:val="017D4CAA"/>
    <w:multiLevelType w:val="hybridMultilevel"/>
    <w:tmpl w:val="8AC2CEAE"/>
    <w:lvl w:ilvl="0" w:tplc="E9644A66">
      <w:start w:val="1"/>
      <w:numFmt w:val="upperLetter"/>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4C61B41"/>
    <w:multiLevelType w:val="singleLevel"/>
    <w:tmpl w:val="0CA21E98"/>
    <w:lvl w:ilvl="0">
      <w:numFmt w:val="bullet"/>
      <w:suff w:val="nothing"/>
      <w:lvlText w:val="-"/>
      <w:lvlJc w:val="left"/>
      <w:pPr>
        <w:tabs>
          <w:tab w:val="num" w:pos="0"/>
        </w:tabs>
      </w:pPr>
      <w:rPr>
        <w:rFonts w:ascii="Symbol" w:hAnsi="Symbol" w:cs="Symbol"/>
        <w:snapToGrid/>
        <w:sz w:val="20"/>
        <w:szCs w:val="20"/>
      </w:rPr>
    </w:lvl>
  </w:abstractNum>
  <w:abstractNum w:abstractNumId="5" w15:restartNumberingAfterBreak="0">
    <w:nsid w:val="0533402B"/>
    <w:multiLevelType w:val="singleLevel"/>
    <w:tmpl w:val="F8C8CC66"/>
    <w:lvl w:ilvl="0">
      <w:start w:val="5"/>
      <w:numFmt w:val="lowerLetter"/>
      <w:lvlText w:val="%1."/>
      <w:lvlJc w:val="left"/>
      <w:pPr>
        <w:tabs>
          <w:tab w:val="num" w:pos="216"/>
        </w:tabs>
        <w:ind w:left="0"/>
      </w:pPr>
      <w:rPr>
        <w:rFonts w:ascii="Times New Roman" w:hAnsi="Times New Roman" w:cs="Times New Roman" w:hint="default"/>
        <w:b w:val="0"/>
        <w:bCs/>
        <w:snapToGrid/>
        <w:spacing w:val="-3"/>
        <w:sz w:val="20"/>
        <w:szCs w:val="20"/>
      </w:rPr>
    </w:lvl>
  </w:abstractNum>
  <w:abstractNum w:abstractNumId="6"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69E6965"/>
    <w:multiLevelType w:val="singleLevel"/>
    <w:tmpl w:val="1786F6BA"/>
    <w:lvl w:ilvl="0">
      <w:start w:val="1"/>
      <w:numFmt w:val="lowerLetter"/>
      <w:lvlText w:val="%1)"/>
      <w:lvlJc w:val="left"/>
      <w:pPr>
        <w:tabs>
          <w:tab w:val="num" w:pos="720"/>
        </w:tabs>
        <w:ind w:left="720" w:hanging="288"/>
      </w:pPr>
      <w:rPr>
        <w:rFonts w:ascii="Times New Roman" w:hAnsi="Times New Roman" w:cs="Times New Roman" w:hint="default"/>
        <w:b/>
        <w:bCs/>
        <w:snapToGrid/>
        <w:sz w:val="20"/>
        <w:szCs w:val="20"/>
      </w:rPr>
    </w:lvl>
  </w:abstractNum>
  <w:abstractNum w:abstractNumId="9" w15:restartNumberingAfterBreak="0">
    <w:nsid w:val="06FF1B55"/>
    <w:multiLevelType w:val="singleLevel"/>
    <w:tmpl w:val="4FAE540C"/>
    <w:lvl w:ilvl="0">
      <w:start w:val="1"/>
      <w:numFmt w:val="decimal"/>
      <w:lvlText w:val="%1."/>
      <w:lvlJc w:val="left"/>
      <w:pPr>
        <w:tabs>
          <w:tab w:val="num" w:pos="2376"/>
        </w:tabs>
        <w:ind w:left="2376" w:hanging="360"/>
      </w:pPr>
      <w:rPr>
        <w:rFonts w:ascii="Times New Roman" w:hAnsi="Times New Roman" w:cs="Times New Roman" w:hint="default"/>
        <w:snapToGrid/>
        <w:spacing w:val="7"/>
        <w:sz w:val="20"/>
        <w:szCs w:val="20"/>
      </w:rPr>
    </w:lvl>
  </w:abstractNum>
  <w:abstractNum w:abstractNumId="10" w15:restartNumberingAfterBreak="0">
    <w:nsid w:val="07A976F8"/>
    <w:multiLevelType w:val="singleLevel"/>
    <w:tmpl w:val="2CCC0ABD"/>
    <w:lvl w:ilvl="0">
      <w:start w:val="1"/>
      <w:numFmt w:val="lowerLetter"/>
      <w:lvlText w:val="%1)"/>
      <w:lvlJc w:val="left"/>
      <w:pPr>
        <w:tabs>
          <w:tab w:val="num" w:pos="1296"/>
        </w:tabs>
        <w:ind w:left="1080"/>
      </w:pPr>
      <w:rPr>
        <w:rFonts w:ascii="Arial" w:hAnsi="Arial" w:cs="Arial"/>
        <w:b/>
        <w:bCs/>
        <w:i/>
        <w:iCs/>
        <w:snapToGrid/>
        <w:spacing w:val="16"/>
        <w:sz w:val="21"/>
        <w:szCs w:val="21"/>
      </w:rPr>
    </w:lvl>
  </w:abstractNum>
  <w:abstractNum w:abstractNumId="11"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45F51E1"/>
    <w:multiLevelType w:val="hybridMultilevel"/>
    <w:tmpl w:val="44E2F20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6A4F1963"/>
    <w:multiLevelType w:val="hybridMultilevel"/>
    <w:tmpl w:val="643602B6"/>
    <w:lvl w:ilvl="0" w:tplc="C7244D3C">
      <w:start w:val="39"/>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18" w15:restartNumberingAfterBreak="0">
    <w:nsid w:val="74CC1872"/>
    <w:multiLevelType w:val="hybridMultilevel"/>
    <w:tmpl w:val="DF36DB34"/>
    <w:lvl w:ilvl="0" w:tplc="D3C81698">
      <w:start w:val="1"/>
      <w:numFmt w:val="decimal"/>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3"/>
  </w:num>
  <w:num w:numId="2">
    <w:abstractNumId w:val="11"/>
  </w:num>
  <w:num w:numId="3">
    <w:abstractNumId w:val="7"/>
  </w:num>
  <w:num w:numId="4">
    <w:abstractNumId w:val="12"/>
  </w:num>
  <w:num w:numId="5">
    <w:abstractNumId w:val="19"/>
  </w:num>
  <w:num w:numId="6">
    <w:abstractNumId w:val="17"/>
  </w:num>
  <w:num w:numId="7">
    <w:abstractNumId w:val="14"/>
  </w:num>
  <w:num w:numId="8">
    <w:abstractNumId w:val="9"/>
  </w:num>
  <w:num w:numId="9">
    <w:abstractNumId w:val="9"/>
    <w:lvlOverride w:ilvl="0">
      <w:lvl w:ilvl="0">
        <w:numFmt w:val="decimal"/>
        <w:lvlText w:val="%1."/>
        <w:lvlJc w:val="left"/>
        <w:pPr>
          <w:tabs>
            <w:tab w:val="num" w:pos="2376"/>
          </w:tabs>
          <w:ind w:left="2376" w:hanging="360"/>
        </w:pPr>
        <w:rPr>
          <w:rFonts w:ascii="Times New Roman" w:hAnsi="Times New Roman" w:cs="Times New Roman" w:hint="default"/>
          <w:snapToGrid/>
          <w:sz w:val="20"/>
          <w:szCs w:val="20"/>
        </w:rPr>
      </w:lvl>
    </w:lvlOverride>
  </w:num>
  <w:num w:numId="10">
    <w:abstractNumId w:val="18"/>
  </w:num>
  <w:num w:numId="11">
    <w:abstractNumId w:val="4"/>
  </w:num>
  <w:num w:numId="12">
    <w:abstractNumId w:val="4"/>
    <w:lvlOverride w:ilvl="0">
      <w:lvl w:ilvl="0">
        <w:numFmt w:val="bullet"/>
        <w:suff w:val="nothing"/>
        <w:lvlText w:val="-"/>
        <w:lvlJc w:val="left"/>
        <w:pPr>
          <w:tabs>
            <w:tab w:val="num" w:pos="720"/>
          </w:tabs>
          <w:ind w:left="720"/>
        </w:pPr>
        <w:rPr>
          <w:rFonts w:ascii="Symbol" w:hAnsi="Symbol" w:cs="Symbol"/>
          <w:snapToGrid/>
          <w:spacing w:val="1"/>
          <w:sz w:val="20"/>
          <w:szCs w:val="20"/>
        </w:rPr>
      </w:lvl>
    </w:lvlOverride>
  </w:num>
  <w:num w:numId="13">
    <w:abstractNumId w:val="2"/>
  </w:num>
  <w:num w:numId="14">
    <w:abstractNumId w:val="1"/>
  </w:num>
  <w:num w:numId="15">
    <w:abstractNumId w:val="6"/>
  </w:num>
  <w:num w:numId="16">
    <w:abstractNumId w:val="3"/>
  </w:num>
  <w:num w:numId="17">
    <w:abstractNumId w:val="15"/>
  </w:num>
  <w:num w:numId="18">
    <w:abstractNumId w:val="0"/>
  </w:num>
  <w:num w:numId="19">
    <w:abstractNumId w:val="5"/>
  </w:num>
  <w:num w:numId="20">
    <w:abstractNumId w:val="8"/>
  </w:num>
  <w:num w:numId="21">
    <w:abstractNumId w:val="10"/>
  </w:num>
  <w:num w:numId="22">
    <w:abstractNumId w:val="10"/>
    <w:lvlOverride w:ilvl="0">
      <w:lvl w:ilvl="0">
        <w:numFmt w:val="lowerLetter"/>
        <w:lvlText w:val="%1)"/>
        <w:lvlJc w:val="left"/>
        <w:pPr>
          <w:tabs>
            <w:tab w:val="num" w:pos="1296"/>
          </w:tabs>
          <w:ind w:left="1080"/>
        </w:pPr>
        <w:rPr>
          <w:rFonts w:ascii="Arial" w:hAnsi="Arial" w:cs="Arial"/>
          <w:b/>
          <w:bCs/>
          <w:snapToGrid/>
          <w:spacing w:val="-43"/>
          <w:sz w:val="21"/>
          <w:szCs w:val="21"/>
        </w:rPr>
      </w:lvl>
    </w:lvlOverride>
  </w:num>
  <w:num w:numId="23">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C45C0"/>
    <w:rsid w:val="0000007F"/>
    <w:rsid w:val="000021F5"/>
    <w:rsid w:val="000052E3"/>
    <w:rsid w:val="00015D60"/>
    <w:rsid w:val="000172B3"/>
    <w:rsid w:val="000260E5"/>
    <w:rsid w:val="000302C0"/>
    <w:rsid w:val="00033BBC"/>
    <w:rsid w:val="00045363"/>
    <w:rsid w:val="00050542"/>
    <w:rsid w:val="00056B2C"/>
    <w:rsid w:val="0006622B"/>
    <w:rsid w:val="000772C8"/>
    <w:rsid w:val="0007733D"/>
    <w:rsid w:val="000813A4"/>
    <w:rsid w:val="000815AA"/>
    <w:rsid w:val="00082071"/>
    <w:rsid w:val="000846C0"/>
    <w:rsid w:val="00087153"/>
    <w:rsid w:val="00095A4A"/>
    <w:rsid w:val="000A15CD"/>
    <w:rsid w:val="000A320F"/>
    <w:rsid w:val="000A3E9E"/>
    <w:rsid w:val="000A5B5C"/>
    <w:rsid w:val="000B3DC1"/>
    <w:rsid w:val="000B6C31"/>
    <w:rsid w:val="000C07EA"/>
    <w:rsid w:val="000C4FDA"/>
    <w:rsid w:val="000D3160"/>
    <w:rsid w:val="000D43B5"/>
    <w:rsid w:val="000D5206"/>
    <w:rsid w:val="000D5E6E"/>
    <w:rsid w:val="000D74AB"/>
    <w:rsid w:val="000E290C"/>
    <w:rsid w:val="000E2F89"/>
    <w:rsid w:val="000E5579"/>
    <w:rsid w:val="000E68E7"/>
    <w:rsid w:val="000F014E"/>
    <w:rsid w:val="000F27B6"/>
    <w:rsid w:val="000F3AC9"/>
    <w:rsid w:val="000F3F86"/>
    <w:rsid w:val="000F5C8D"/>
    <w:rsid w:val="00105D88"/>
    <w:rsid w:val="0010633E"/>
    <w:rsid w:val="00106925"/>
    <w:rsid w:val="0011138D"/>
    <w:rsid w:val="001115F4"/>
    <w:rsid w:val="00114B9B"/>
    <w:rsid w:val="00116BD8"/>
    <w:rsid w:val="00116E06"/>
    <w:rsid w:val="0012039D"/>
    <w:rsid w:val="001206BF"/>
    <w:rsid w:val="00122115"/>
    <w:rsid w:val="00122B37"/>
    <w:rsid w:val="00122F50"/>
    <w:rsid w:val="00126200"/>
    <w:rsid w:val="00127B90"/>
    <w:rsid w:val="00127FF9"/>
    <w:rsid w:val="00133C36"/>
    <w:rsid w:val="00134C6F"/>
    <w:rsid w:val="00136AE0"/>
    <w:rsid w:val="001464AB"/>
    <w:rsid w:val="001500BE"/>
    <w:rsid w:val="0015280B"/>
    <w:rsid w:val="001554F2"/>
    <w:rsid w:val="00155CC9"/>
    <w:rsid w:val="00156655"/>
    <w:rsid w:val="00156FE4"/>
    <w:rsid w:val="00157DE1"/>
    <w:rsid w:val="0016156F"/>
    <w:rsid w:val="00161A40"/>
    <w:rsid w:val="0016281D"/>
    <w:rsid w:val="0016305C"/>
    <w:rsid w:val="00163223"/>
    <w:rsid w:val="00163518"/>
    <w:rsid w:val="00170F3F"/>
    <w:rsid w:val="001743A3"/>
    <w:rsid w:val="001844C6"/>
    <w:rsid w:val="00193D84"/>
    <w:rsid w:val="00197143"/>
    <w:rsid w:val="001A070E"/>
    <w:rsid w:val="001A0855"/>
    <w:rsid w:val="001A0A12"/>
    <w:rsid w:val="001A2AF4"/>
    <w:rsid w:val="001A3205"/>
    <w:rsid w:val="001A3C48"/>
    <w:rsid w:val="001A7028"/>
    <w:rsid w:val="001B0B25"/>
    <w:rsid w:val="001B0DEB"/>
    <w:rsid w:val="001C20B0"/>
    <w:rsid w:val="001C5D21"/>
    <w:rsid w:val="001D0058"/>
    <w:rsid w:val="001D461A"/>
    <w:rsid w:val="001D79BE"/>
    <w:rsid w:val="001E16BD"/>
    <w:rsid w:val="001F2A6E"/>
    <w:rsid w:val="001F403B"/>
    <w:rsid w:val="001F538A"/>
    <w:rsid w:val="001F711A"/>
    <w:rsid w:val="00202DE0"/>
    <w:rsid w:val="00207918"/>
    <w:rsid w:val="0021242B"/>
    <w:rsid w:val="002174C6"/>
    <w:rsid w:val="00217BF2"/>
    <w:rsid w:val="00222A4D"/>
    <w:rsid w:val="00222C13"/>
    <w:rsid w:val="002242F0"/>
    <w:rsid w:val="00224384"/>
    <w:rsid w:val="002249E3"/>
    <w:rsid w:val="00231DA9"/>
    <w:rsid w:val="00237B3C"/>
    <w:rsid w:val="00241B87"/>
    <w:rsid w:val="00253871"/>
    <w:rsid w:val="002547C8"/>
    <w:rsid w:val="0025481F"/>
    <w:rsid w:val="00254DE7"/>
    <w:rsid w:val="002618CA"/>
    <w:rsid w:val="00267155"/>
    <w:rsid w:val="00281E93"/>
    <w:rsid w:val="00282999"/>
    <w:rsid w:val="00282EBB"/>
    <w:rsid w:val="00284BC2"/>
    <w:rsid w:val="00285ED6"/>
    <w:rsid w:val="00290868"/>
    <w:rsid w:val="00292028"/>
    <w:rsid w:val="002923C2"/>
    <w:rsid w:val="00294A53"/>
    <w:rsid w:val="00295AD8"/>
    <w:rsid w:val="002A02B6"/>
    <w:rsid w:val="002A198D"/>
    <w:rsid w:val="002A440F"/>
    <w:rsid w:val="002A6845"/>
    <w:rsid w:val="002A69E7"/>
    <w:rsid w:val="002C0EB3"/>
    <w:rsid w:val="002C1262"/>
    <w:rsid w:val="002C1F0D"/>
    <w:rsid w:val="002C45C0"/>
    <w:rsid w:val="002C7233"/>
    <w:rsid w:val="002D107A"/>
    <w:rsid w:val="002D3EB7"/>
    <w:rsid w:val="002E0F10"/>
    <w:rsid w:val="002E7F8A"/>
    <w:rsid w:val="002F2BE9"/>
    <w:rsid w:val="002F3B02"/>
    <w:rsid w:val="00301ED0"/>
    <w:rsid w:val="00307A8F"/>
    <w:rsid w:val="00311D2C"/>
    <w:rsid w:val="003121C9"/>
    <w:rsid w:val="003155BC"/>
    <w:rsid w:val="0031780C"/>
    <w:rsid w:val="00317A9E"/>
    <w:rsid w:val="00317AC2"/>
    <w:rsid w:val="00321E27"/>
    <w:rsid w:val="00333721"/>
    <w:rsid w:val="00334EB4"/>
    <w:rsid w:val="00334EE1"/>
    <w:rsid w:val="003354B3"/>
    <w:rsid w:val="003376E5"/>
    <w:rsid w:val="00337DC0"/>
    <w:rsid w:val="003418E0"/>
    <w:rsid w:val="00342B0C"/>
    <w:rsid w:val="00343417"/>
    <w:rsid w:val="00346A1C"/>
    <w:rsid w:val="00350FE3"/>
    <w:rsid w:val="00351C68"/>
    <w:rsid w:val="00354AF7"/>
    <w:rsid w:val="0036119A"/>
    <w:rsid w:val="00362CC5"/>
    <w:rsid w:val="00366EC2"/>
    <w:rsid w:val="00370189"/>
    <w:rsid w:val="00373775"/>
    <w:rsid w:val="00374D55"/>
    <w:rsid w:val="00380CA3"/>
    <w:rsid w:val="0038440B"/>
    <w:rsid w:val="0039025C"/>
    <w:rsid w:val="00390E38"/>
    <w:rsid w:val="00390EDD"/>
    <w:rsid w:val="00391FE8"/>
    <w:rsid w:val="0039399B"/>
    <w:rsid w:val="00397885"/>
    <w:rsid w:val="003A0413"/>
    <w:rsid w:val="003A1876"/>
    <w:rsid w:val="003A3B01"/>
    <w:rsid w:val="003A468B"/>
    <w:rsid w:val="003A6272"/>
    <w:rsid w:val="003A795D"/>
    <w:rsid w:val="003B1627"/>
    <w:rsid w:val="003B65AE"/>
    <w:rsid w:val="003C0A00"/>
    <w:rsid w:val="003C10EA"/>
    <w:rsid w:val="003C5EE2"/>
    <w:rsid w:val="003C62CC"/>
    <w:rsid w:val="003D4D81"/>
    <w:rsid w:val="003D6730"/>
    <w:rsid w:val="003D724D"/>
    <w:rsid w:val="003F0EF5"/>
    <w:rsid w:val="003F1E6C"/>
    <w:rsid w:val="003F5877"/>
    <w:rsid w:val="003F612E"/>
    <w:rsid w:val="00401C59"/>
    <w:rsid w:val="00401EAF"/>
    <w:rsid w:val="0040227E"/>
    <w:rsid w:val="00411199"/>
    <w:rsid w:val="00412C21"/>
    <w:rsid w:val="00435B86"/>
    <w:rsid w:val="0043655A"/>
    <w:rsid w:val="00440729"/>
    <w:rsid w:val="00444CB1"/>
    <w:rsid w:val="00454A6C"/>
    <w:rsid w:val="0045696B"/>
    <w:rsid w:val="004569B9"/>
    <w:rsid w:val="00460306"/>
    <w:rsid w:val="00467370"/>
    <w:rsid w:val="00467CBD"/>
    <w:rsid w:val="004705B3"/>
    <w:rsid w:val="0047178F"/>
    <w:rsid w:val="00472CEF"/>
    <w:rsid w:val="004836D8"/>
    <w:rsid w:val="00486DBD"/>
    <w:rsid w:val="0048725D"/>
    <w:rsid w:val="00490739"/>
    <w:rsid w:val="004A3A0D"/>
    <w:rsid w:val="004A4753"/>
    <w:rsid w:val="004A5352"/>
    <w:rsid w:val="004A62B1"/>
    <w:rsid w:val="004A72CE"/>
    <w:rsid w:val="004A7CDE"/>
    <w:rsid w:val="004A7E03"/>
    <w:rsid w:val="004B2552"/>
    <w:rsid w:val="004B4513"/>
    <w:rsid w:val="004B4A9B"/>
    <w:rsid w:val="004B7DF6"/>
    <w:rsid w:val="004C1253"/>
    <w:rsid w:val="004C2BBA"/>
    <w:rsid w:val="004C7AFD"/>
    <w:rsid w:val="004D1DFF"/>
    <w:rsid w:val="004D3407"/>
    <w:rsid w:val="004D3BC8"/>
    <w:rsid w:val="004E11EB"/>
    <w:rsid w:val="004E4D0A"/>
    <w:rsid w:val="004E54D0"/>
    <w:rsid w:val="004E741D"/>
    <w:rsid w:val="004F1A9F"/>
    <w:rsid w:val="004F51BE"/>
    <w:rsid w:val="004F5D88"/>
    <w:rsid w:val="004F7997"/>
    <w:rsid w:val="00500F05"/>
    <w:rsid w:val="00503033"/>
    <w:rsid w:val="00503CBC"/>
    <w:rsid w:val="0051359E"/>
    <w:rsid w:val="005161FF"/>
    <w:rsid w:val="00516D8B"/>
    <w:rsid w:val="0051784D"/>
    <w:rsid w:val="005222D3"/>
    <w:rsid w:val="0052263B"/>
    <w:rsid w:val="005230B8"/>
    <w:rsid w:val="00530069"/>
    <w:rsid w:val="00531BD7"/>
    <w:rsid w:val="005324C4"/>
    <w:rsid w:val="00535033"/>
    <w:rsid w:val="00535306"/>
    <w:rsid w:val="00541617"/>
    <w:rsid w:val="00542A11"/>
    <w:rsid w:val="00543C91"/>
    <w:rsid w:val="00544317"/>
    <w:rsid w:val="005447F4"/>
    <w:rsid w:val="00547513"/>
    <w:rsid w:val="00550B42"/>
    <w:rsid w:val="00554392"/>
    <w:rsid w:val="0056271E"/>
    <w:rsid w:val="005627C8"/>
    <w:rsid w:val="005771F6"/>
    <w:rsid w:val="00577C77"/>
    <w:rsid w:val="00591A3B"/>
    <w:rsid w:val="00594945"/>
    <w:rsid w:val="0059599C"/>
    <w:rsid w:val="005A2631"/>
    <w:rsid w:val="005B2880"/>
    <w:rsid w:val="005B3F6E"/>
    <w:rsid w:val="005B49BD"/>
    <w:rsid w:val="005B6C4F"/>
    <w:rsid w:val="005C5BA8"/>
    <w:rsid w:val="005C6083"/>
    <w:rsid w:val="005C6DCC"/>
    <w:rsid w:val="005D00D6"/>
    <w:rsid w:val="005D5001"/>
    <w:rsid w:val="005D5A64"/>
    <w:rsid w:val="005E0386"/>
    <w:rsid w:val="005E20A9"/>
    <w:rsid w:val="005E215B"/>
    <w:rsid w:val="005E5955"/>
    <w:rsid w:val="005E611C"/>
    <w:rsid w:val="005F0F31"/>
    <w:rsid w:val="005F1998"/>
    <w:rsid w:val="00602BCA"/>
    <w:rsid w:val="00603BB4"/>
    <w:rsid w:val="00603EF7"/>
    <w:rsid w:val="006045D0"/>
    <w:rsid w:val="00605523"/>
    <w:rsid w:val="006140E7"/>
    <w:rsid w:val="00617CEE"/>
    <w:rsid w:val="006223DA"/>
    <w:rsid w:val="00623520"/>
    <w:rsid w:val="00623A1F"/>
    <w:rsid w:val="00625555"/>
    <w:rsid w:val="006313C9"/>
    <w:rsid w:val="006315E0"/>
    <w:rsid w:val="00631FD5"/>
    <w:rsid w:val="0063358C"/>
    <w:rsid w:val="0063718A"/>
    <w:rsid w:val="0063787E"/>
    <w:rsid w:val="006411E5"/>
    <w:rsid w:val="006437C9"/>
    <w:rsid w:val="00645B0B"/>
    <w:rsid w:val="006470E6"/>
    <w:rsid w:val="00651830"/>
    <w:rsid w:val="00653A25"/>
    <w:rsid w:val="00666453"/>
    <w:rsid w:val="006677B2"/>
    <w:rsid w:val="0066795F"/>
    <w:rsid w:val="006720C5"/>
    <w:rsid w:val="006942B5"/>
    <w:rsid w:val="006A03A3"/>
    <w:rsid w:val="006A0451"/>
    <w:rsid w:val="006A1C15"/>
    <w:rsid w:val="006B4147"/>
    <w:rsid w:val="006B4284"/>
    <w:rsid w:val="006B7E07"/>
    <w:rsid w:val="006C0CB5"/>
    <w:rsid w:val="006C1EAE"/>
    <w:rsid w:val="006C2B4F"/>
    <w:rsid w:val="006C4D9D"/>
    <w:rsid w:val="006C7002"/>
    <w:rsid w:val="006D5068"/>
    <w:rsid w:val="006D771A"/>
    <w:rsid w:val="006E005A"/>
    <w:rsid w:val="006E0867"/>
    <w:rsid w:val="006E0F7A"/>
    <w:rsid w:val="006E3079"/>
    <w:rsid w:val="006E46CD"/>
    <w:rsid w:val="006F0221"/>
    <w:rsid w:val="006F112F"/>
    <w:rsid w:val="006F1F6E"/>
    <w:rsid w:val="006F3B36"/>
    <w:rsid w:val="006F3E63"/>
    <w:rsid w:val="006F6ECD"/>
    <w:rsid w:val="007031D0"/>
    <w:rsid w:val="007032C0"/>
    <w:rsid w:val="00703876"/>
    <w:rsid w:val="007047DE"/>
    <w:rsid w:val="00705AD6"/>
    <w:rsid w:val="007112F7"/>
    <w:rsid w:val="007127C8"/>
    <w:rsid w:val="0071704A"/>
    <w:rsid w:val="00721969"/>
    <w:rsid w:val="00722BD0"/>
    <w:rsid w:val="0072486C"/>
    <w:rsid w:val="00724F22"/>
    <w:rsid w:val="00731387"/>
    <w:rsid w:val="007326A7"/>
    <w:rsid w:val="00736DC7"/>
    <w:rsid w:val="0073713D"/>
    <w:rsid w:val="00737177"/>
    <w:rsid w:val="007427E5"/>
    <w:rsid w:val="00742943"/>
    <w:rsid w:val="00750645"/>
    <w:rsid w:val="007513D4"/>
    <w:rsid w:val="00756724"/>
    <w:rsid w:val="00760A27"/>
    <w:rsid w:val="00761EF9"/>
    <w:rsid w:val="00763019"/>
    <w:rsid w:val="00764269"/>
    <w:rsid w:val="00765A79"/>
    <w:rsid w:val="00771733"/>
    <w:rsid w:val="007723E7"/>
    <w:rsid w:val="00772E1F"/>
    <w:rsid w:val="00774A3A"/>
    <w:rsid w:val="00777C2F"/>
    <w:rsid w:val="00777D21"/>
    <w:rsid w:val="0078357A"/>
    <w:rsid w:val="007836B2"/>
    <w:rsid w:val="00784A16"/>
    <w:rsid w:val="007869BF"/>
    <w:rsid w:val="007905AE"/>
    <w:rsid w:val="0079122A"/>
    <w:rsid w:val="00797779"/>
    <w:rsid w:val="007A0255"/>
    <w:rsid w:val="007A5C67"/>
    <w:rsid w:val="007A7584"/>
    <w:rsid w:val="007B50CC"/>
    <w:rsid w:val="007B6AF5"/>
    <w:rsid w:val="007B74F7"/>
    <w:rsid w:val="007C017B"/>
    <w:rsid w:val="007C181C"/>
    <w:rsid w:val="007C4187"/>
    <w:rsid w:val="007C4BFF"/>
    <w:rsid w:val="007C711E"/>
    <w:rsid w:val="007D1720"/>
    <w:rsid w:val="007E7E67"/>
    <w:rsid w:val="007F2966"/>
    <w:rsid w:val="007F6C85"/>
    <w:rsid w:val="007F7B58"/>
    <w:rsid w:val="00810B78"/>
    <w:rsid w:val="00812B8F"/>
    <w:rsid w:val="00813ED6"/>
    <w:rsid w:val="008142B9"/>
    <w:rsid w:val="00814469"/>
    <w:rsid w:val="00820EFC"/>
    <w:rsid w:val="00821A26"/>
    <w:rsid w:val="00824C29"/>
    <w:rsid w:val="008304C9"/>
    <w:rsid w:val="008348F0"/>
    <w:rsid w:val="00837E08"/>
    <w:rsid w:val="008412A6"/>
    <w:rsid w:val="00841EE8"/>
    <w:rsid w:val="00843397"/>
    <w:rsid w:val="00843D1E"/>
    <w:rsid w:val="00845A50"/>
    <w:rsid w:val="00847E6D"/>
    <w:rsid w:val="00851367"/>
    <w:rsid w:val="0085340E"/>
    <w:rsid w:val="00860753"/>
    <w:rsid w:val="00862F3F"/>
    <w:rsid w:val="00864CD4"/>
    <w:rsid w:val="00864ED7"/>
    <w:rsid w:val="00865E95"/>
    <w:rsid w:val="0086630A"/>
    <w:rsid w:val="008771E1"/>
    <w:rsid w:val="0088097D"/>
    <w:rsid w:val="00894C47"/>
    <w:rsid w:val="008A3691"/>
    <w:rsid w:val="008B4A93"/>
    <w:rsid w:val="008B5724"/>
    <w:rsid w:val="008C0424"/>
    <w:rsid w:val="008E658A"/>
    <w:rsid w:val="008E69CB"/>
    <w:rsid w:val="008E72EA"/>
    <w:rsid w:val="008F121E"/>
    <w:rsid w:val="008F2A88"/>
    <w:rsid w:val="00901969"/>
    <w:rsid w:val="00901AA0"/>
    <w:rsid w:val="009147EE"/>
    <w:rsid w:val="00915620"/>
    <w:rsid w:val="00917589"/>
    <w:rsid w:val="00920C99"/>
    <w:rsid w:val="00923099"/>
    <w:rsid w:val="00925154"/>
    <w:rsid w:val="00930C9F"/>
    <w:rsid w:val="009331C2"/>
    <w:rsid w:val="0093501C"/>
    <w:rsid w:val="00936AF6"/>
    <w:rsid w:val="00944EC2"/>
    <w:rsid w:val="009470BC"/>
    <w:rsid w:val="00947144"/>
    <w:rsid w:val="00947581"/>
    <w:rsid w:val="0094762F"/>
    <w:rsid w:val="009479C5"/>
    <w:rsid w:val="0096073F"/>
    <w:rsid w:val="009638A8"/>
    <w:rsid w:val="009654DD"/>
    <w:rsid w:val="009734F0"/>
    <w:rsid w:val="0098662F"/>
    <w:rsid w:val="009867FC"/>
    <w:rsid w:val="0099111A"/>
    <w:rsid w:val="00991C06"/>
    <w:rsid w:val="00992115"/>
    <w:rsid w:val="00992779"/>
    <w:rsid w:val="009932BF"/>
    <w:rsid w:val="00993DAE"/>
    <w:rsid w:val="00994D32"/>
    <w:rsid w:val="009A1991"/>
    <w:rsid w:val="009A4BEB"/>
    <w:rsid w:val="009A588A"/>
    <w:rsid w:val="009A62C7"/>
    <w:rsid w:val="009A68A4"/>
    <w:rsid w:val="009A70B8"/>
    <w:rsid w:val="009A76FA"/>
    <w:rsid w:val="009B255C"/>
    <w:rsid w:val="009B347A"/>
    <w:rsid w:val="009B3BC5"/>
    <w:rsid w:val="009B5777"/>
    <w:rsid w:val="009C32CE"/>
    <w:rsid w:val="009D4BB9"/>
    <w:rsid w:val="009E62C1"/>
    <w:rsid w:val="009E7C69"/>
    <w:rsid w:val="009F37B6"/>
    <w:rsid w:val="009F3D36"/>
    <w:rsid w:val="009F3D5F"/>
    <w:rsid w:val="009F6B7C"/>
    <w:rsid w:val="00A0485F"/>
    <w:rsid w:val="00A05A9C"/>
    <w:rsid w:val="00A11339"/>
    <w:rsid w:val="00A124C9"/>
    <w:rsid w:val="00A21B6D"/>
    <w:rsid w:val="00A23AF0"/>
    <w:rsid w:val="00A24949"/>
    <w:rsid w:val="00A24BA6"/>
    <w:rsid w:val="00A26E5F"/>
    <w:rsid w:val="00A3220B"/>
    <w:rsid w:val="00A340C9"/>
    <w:rsid w:val="00A362E4"/>
    <w:rsid w:val="00A4612D"/>
    <w:rsid w:val="00A475AA"/>
    <w:rsid w:val="00A51D56"/>
    <w:rsid w:val="00A53993"/>
    <w:rsid w:val="00A647D3"/>
    <w:rsid w:val="00A64E76"/>
    <w:rsid w:val="00A721DA"/>
    <w:rsid w:val="00A75FB0"/>
    <w:rsid w:val="00A833E4"/>
    <w:rsid w:val="00A83928"/>
    <w:rsid w:val="00A86686"/>
    <w:rsid w:val="00A90A0E"/>
    <w:rsid w:val="00A93473"/>
    <w:rsid w:val="00A9725A"/>
    <w:rsid w:val="00A97E85"/>
    <w:rsid w:val="00AA739F"/>
    <w:rsid w:val="00AA7B03"/>
    <w:rsid w:val="00AB1A92"/>
    <w:rsid w:val="00AB28D9"/>
    <w:rsid w:val="00AB6E25"/>
    <w:rsid w:val="00AC2A6F"/>
    <w:rsid w:val="00AC3C6C"/>
    <w:rsid w:val="00AC4153"/>
    <w:rsid w:val="00AC5141"/>
    <w:rsid w:val="00AC7FF9"/>
    <w:rsid w:val="00AD23A9"/>
    <w:rsid w:val="00AD4705"/>
    <w:rsid w:val="00AD5436"/>
    <w:rsid w:val="00AD6D4A"/>
    <w:rsid w:val="00AE018C"/>
    <w:rsid w:val="00AE2B1E"/>
    <w:rsid w:val="00AE6305"/>
    <w:rsid w:val="00AE7901"/>
    <w:rsid w:val="00AF124B"/>
    <w:rsid w:val="00AF5CB5"/>
    <w:rsid w:val="00B010E1"/>
    <w:rsid w:val="00B01FCB"/>
    <w:rsid w:val="00B0227F"/>
    <w:rsid w:val="00B03753"/>
    <w:rsid w:val="00B0415A"/>
    <w:rsid w:val="00B05DD6"/>
    <w:rsid w:val="00B06B1C"/>
    <w:rsid w:val="00B10067"/>
    <w:rsid w:val="00B130B6"/>
    <w:rsid w:val="00B152D1"/>
    <w:rsid w:val="00B159AC"/>
    <w:rsid w:val="00B167A1"/>
    <w:rsid w:val="00B17DB5"/>
    <w:rsid w:val="00B209E3"/>
    <w:rsid w:val="00B22A75"/>
    <w:rsid w:val="00B2710D"/>
    <w:rsid w:val="00B27FE1"/>
    <w:rsid w:val="00B30745"/>
    <w:rsid w:val="00B32AEC"/>
    <w:rsid w:val="00B3457E"/>
    <w:rsid w:val="00B37670"/>
    <w:rsid w:val="00B41C73"/>
    <w:rsid w:val="00B473BF"/>
    <w:rsid w:val="00B55837"/>
    <w:rsid w:val="00B579DD"/>
    <w:rsid w:val="00B61106"/>
    <w:rsid w:val="00B62356"/>
    <w:rsid w:val="00B66E8B"/>
    <w:rsid w:val="00B74DD3"/>
    <w:rsid w:val="00B763E9"/>
    <w:rsid w:val="00B77BE2"/>
    <w:rsid w:val="00B840BC"/>
    <w:rsid w:val="00B85EC7"/>
    <w:rsid w:val="00B862C8"/>
    <w:rsid w:val="00B9703C"/>
    <w:rsid w:val="00BA0769"/>
    <w:rsid w:val="00BA7C32"/>
    <w:rsid w:val="00BB0BD2"/>
    <w:rsid w:val="00BB1538"/>
    <w:rsid w:val="00BB2388"/>
    <w:rsid w:val="00BB365C"/>
    <w:rsid w:val="00BB5167"/>
    <w:rsid w:val="00BB5833"/>
    <w:rsid w:val="00BC12D8"/>
    <w:rsid w:val="00BC2548"/>
    <w:rsid w:val="00BD3B4A"/>
    <w:rsid w:val="00BD69AF"/>
    <w:rsid w:val="00BE6242"/>
    <w:rsid w:val="00BE7CF0"/>
    <w:rsid w:val="00BF13A7"/>
    <w:rsid w:val="00BF2F77"/>
    <w:rsid w:val="00BF7E0D"/>
    <w:rsid w:val="00C02463"/>
    <w:rsid w:val="00C02E97"/>
    <w:rsid w:val="00C06666"/>
    <w:rsid w:val="00C14A13"/>
    <w:rsid w:val="00C17223"/>
    <w:rsid w:val="00C17F6A"/>
    <w:rsid w:val="00C21D2B"/>
    <w:rsid w:val="00C21D45"/>
    <w:rsid w:val="00C23AAE"/>
    <w:rsid w:val="00C24AE5"/>
    <w:rsid w:val="00C26F02"/>
    <w:rsid w:val="00C33219"/>
    <w:rsid w:val="00C372F1"/>
    <w:rsid w:val="00C45D38"/>
    <w:rsid w:val="00C47F5A"/>
    <w:rsid w:val="00C54CF2"/>
    <w:rsid w:val="00C62C7E"/>
    <w:rsid w:val="00C64056"/>
    <w:rsid w:val="00C6756F"/>
    <w:rsid w:val="00C7476D"/>
    <w:rsid w:val="00C75C95"/>
    <w:rsid w:val="00C83462"/>
    <w:rsid w:val="00C864EF"/>
    <w:rsid w:val="00C8694E"/>
    <w:rsid w:val="00C87529"/>
    <w:rsid w:val="00C90AB9"/>
    <w:rsid w:val="00C91490"/>
    <w:rsid w:val="00C957CF"/>
    <w:rsid w:val="00CA2446"/>
    <w:rsid w:val="00CA249C"/>
    <w:rsid w:val="00CA4F18"/>
    <w:rsid w:val="00CA75ED"/>
    <w:rsid w:val="00CB2129"/>
    <w:rsid w:val="00CB2C0A"/>
    <w:rsid w:val="00CB34CA"/>
    <w:rsid w:val="00CB38FC"/>
    <w:rsid w:val="00CB4C17"/>
    <w:rsid w:val="00CB7670"/>
    <w:rsid w:val="00CC1E47"/>
    <w:rsid w:val="00CC4C89"/>
    <w:rsid w:val="00CD0329"/>
    <w:rsid w:val="00CD7B02"/>
    <w:rsid w:val="00CE38FC"/>
    <w:rsid w:val="00CF2E69"/>
    <w:rsid w:val="00D14F87"/>
    <w:rsid w:val="00D1781E"/>
    <w:rsid w:val="00D20CB6"/>
    <w:rsid w:val="00D23037"/>
    <w:rsid w:val="00D25F24"/>
    <w:rsid w:val="00D30158"/>
    <w:rsid w:val="00D30269"/>
    <w:rsid w:val="00D32553"/>
    <w:rsid w:val="00D367FD"/>
    <w:rsid w:val="00D4113D"/>
    <w:rsid w:val="00D42FCF"/>
    <w:rsid w:val="00D436ED"/>
    <w:rsid w:val="00D4725D"/>
    <w:rsid w:val="00D51461"/>
    <w:rsid w:val="00D5339D"/>
    <w:rsid w:val="00D548C1"/>
    <w:rsid w:val="00D62399"/>
    <w:rsid w:val="00D62A89"/>
    <w:rsid w:val="00D66B98"/>
    <w:rsid w:val="00D72E90"/>
    <w:rsid w:val="00D82A7B"/>
    <w:rsid w:val="00D84C3F"/>
    <w:rsid w:val="00D910FA"/>
    <w:rsid w:val="00D97FED"/>
    <w:rsid w:val="00DA52EE"/>
    <w:rsid w:val="00DA591F"/>
    <w:rsid w:val="00DB4695"/>
    <w:rsid w:val="00DB4DA6"/>
    <w:rsid w:val="00DC0350"/>
    <w:rsid w:val="00DC0FE1"/>
    <w:rsid w:val="00DC1E91"/>
    <w:rsid w:val="00DC385A"/>
    <w:rsid w:val="00DC633D"/>
    <w:rsid w:val="00DC650F"/>
    <w:rsid w:val="00DC7FAC"/>
    <w:rsid w:val="00DD2D13"/>
    <w:rsid w:val="00DD4C55"/>
    <w:rsid w:val="00DD5828"/>
    <w:rsid w:val="00DD7219"/>
    <w:rsid w:val="00DE20B5"/>
    <w:rsid w:val="00DE2BD7"/>
    <w:rsid w:val="00DE5AD6"/>
    <w:rsid w:val="00DF0D39"/>
    <w:rsid w:val="00DF3DDD"/>
    <w:rsid w:val="00DF707A"/>
    <w:rsid w:val="00DF7DDA"/>
    <w:rsid w:val="00E00A42"/>
    <w:rsid w:val="00E00AC7"/>
    <w:rsid w:val="00E0514F"/>
    <w:rsid w:val="00E13C1A"/>
    <w:rsid w:val="00E21FE3"/>
    <w:rsid w:val="00E250D8"/>
    <w:rsid w:val="00E2544F"/>
    <w:rsid w:val="00E25575"/>
    <w:rsid w:val="00E26AC7"/>
    <w:rsid w:val="00E26C05"/>
    <w:rsid w:val="00E270AF"/>
    <w:rsid w:val="00E36192"/>
    <w:rsid w:val="00E41C19"/>
    <w:rsid w:val="00E51E2B"/>
    <w:rsid w:val="00E528CC"/>
    <w:rsid w:val="00E538CF"/>
    <w:rsid w:val="00E574AA"/>
    <w:rsid w:val="00E57A8D"/>
    <w:rsid w:val="00E60CF8"/>
    <w:rsid w:val="00E62DE4"/>
    <w:rsid w:val="00E66227"/>
    <w:rsid w:val="00E672D8"/>
    <w:rsid w:val="00E76356"/>
    <w:rsid w:val="00E768FA"/>
    <w:rsid w:val="00E81820"/>
    <w:rsid w:val="00E83326"/>
    <w:rsid w:val="00E8399F"/>
    <w:rsid w:val="00E87A4D"/>
    <w:rsid w:val="00E96E79"/>
    <w:rsid w:val="00EA1457"/>
    <w:rsid w:val="00EA3CA0"/>
    <w:rsid w:val="00EA4E74"/>
    <w:rsid w:val="00EA735D"/>
    <w:rsid w:val="00EA75D0"/>
    <w:rsid w:val="00EB2B4B"/>
    <w:rsid w:val="00EB6A49"/>
    <w:rsid w:val="00EB74EA"/>
    <w:rsid w:val="00EC16FD"/>
    <w:rsid w:val="00EC184F"/>
    <w:rsid w:val="00EC3851"/>
    <w:rsid w:val="00ED528F"/>
    <w:rsid w:val="00EE1928"/>
    <w:rsid w:val="00EE2D73"/>
    <w:rsid w:val="00EE5520"/>
    <w:rsid w:val="00EE624D"/>
    <w:rsid w:val="00EF3942"/>
    <w:rsid w:val="00EF414F"/>
    <w:rsid w:val="00EF6C79"/>
    <w:rsid w:val="00EF7C10"/>
    <w:rsid w:val="00F02379"/>
    <w:rsid w:val="00F03A60"/>
    <w:rsid w:val="00F17C85"/>
    <w:rsid w:val="00F20050"/>
    <w:rsid w:val="00F21E33"/>
    <w:rsid w:val="00F269A2"/>
    <w:rsid w:val="00F33D6C"/>
    <w:rsid w:val="00F34DB8"/>
    <w:rsid w:val="00F35642"/>
    <w:rsid w:val="00F4112E"/>
    <w:rsid w:val="00F46D13"/>
    <w:rsid w:val="00F50884"/>
    <w:rsid w:val="00F567B4"/>
    <w:rsid w:val="00F5697A"/>
    <w:rsid w:val="00F6109D"/>
    <w:rsid w:val="00F65BF0"/>
    <w:rsid w:val="00F67485"/>
    <w:rsid w:val="00F70D10"/>
    <w:rsid w:val="00F7485C"/>
    <w:rsid w:val="00F8224E"/>
    <w:rsid w:val="00F831D2"/>
    <w:rsid w:val="00F83EF0"/>
    <w:rsid w:val="00F84894"/>
    <w:rsid w:val="00F914D9"/>
    <w:rsid w:val="00FA1A0E"/>
    <w:rsid w:val="00FA4803"/>
    <w:rsid w:val="00FA4D7B"/>
    <w:rsid w:val="00FA5FA8"/>
    <w:rsid w:val="00FB0939"/>
    <w:rsid w:val="00FB6977"/>
    <w:rsid w:val="00FC1B2D"/>
    <w:rsid w:val="00FC28BD"/>
    <w:rsid w:val="00FC6DD0"/>
    <w:rsid w:val="00FD2B2A"/>
    <w:rsid w:val="00FE5129"/>
    <w:rsid w:val="00FE69C0"/>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C49DD5"/>
  <w15:docId w15:val="{F7CE8F74-C083-4C19-9440-815E74BE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3">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paragraph" w:styleId="z-Principiodelformulario">
    <w:name w:val="HTML Top of Form"/>
    <w:basedOn w:val="Normal"/>
    <w:next w:val="Normal"/>
    <w:link w:val="z-PrincipiodelformularioCar"/>
    <w:hidden/>
    <w:uiPriority w:val="99"/>
    <w:semiHidden/>
    <w:unhideWhenUsed/>
    <w:rsid w:val="00F35642"/>
    <w:pPr>
      <w:pBdr>
        <w:bottom w:val="single" w:sz="6" w:space="1" w:color="auto"/>
      </w:pBdr>
      <w:ind w:left="0" w:right="0"/>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F35642"/>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2191B-2FD3-4BD3-B8CB-4D6EC6096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2653</Words>
  <Characters>14592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17211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TRIBUNAL ADMINSITRATIVO DE TRANSPORTE</cp:lastModifiedBy>
  <cp:revision>4</cp:revision>
  <cp:lastPrinted>2016-06-02T14:53:00Z</cp:lastPrinted>
  <dcterms:created xsi:type="dcterms:W3CDTF">2016-09-27T19:36:00Z</dcterms:created>
  <dcterms:modified xsi:type="dcterms:W3CDTF">2016-09-27T19:55:00Z</dcterms:modified>
</cp:coreProperties>
</file>